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632D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образования и науки РФ от 9 декабря 2016 г. N 1558 "Об утверж</w:t>
        </w:r>
        <w:r>
          <w:rPr>
            <w:rStyle w:val="a4"/>
            <w:b w:val="0"/>
            <w:bCs w:val="0"/>
          </w:rPr>
          <w:t>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искусства"</w:t>
        </w:r>
      </w:hyperlink>
    </w:p>
    <w:p w:rsidR="00000000" w:rsidRDefault="0095632D">
      <w:pPr>
        <w:pStyle w:val="1"/>
      </w:pPr>
      <w:r>
        <w:t>Приказ Министерства образования и науки РФ от 9 декабря 2016 г. N 1558</w:t>
      </w:r>
      <w:r>
        <w:br/>
        <w:t xml:space="preserve">"Об утверждении </w:t>
      </w:r>
      <w:r>
        <w:t>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искусства"</w:t>
      </w:r>
    </w:p>
    <w:p w:rsidR="00000000" w:rsidRDefault="0095632D"/>
    <w:p w:rsidR="00000000" w:rsidRDefault="0095632D">
      <w:r>
        <w:t xml:space="preserve">В соответствии с </w:t>
      </w:r>
      <w:hyperlink r:id="rId8" w:history="1">
        <w:r>
          <w:rPr>
            <w:rStyle w:val="a4"/>
          </w:rPr>
          <w:t>подпунктом 5.</w:t>
        </w:r>
        <w:r>
          <w:rPr>
            <w:rStyle w:val="a4"/>
          </w:rPr>
          <w:t>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 Российской Федерации от 3 июня 2013 г. N 466 (Собрание законодательств; Рос</w:t>
      </w:r>
      <w:r>
        <w:t xml:space="preserve">сийской Федерации, 2013, N 23, ст. 2923; N 33, ст. 4386; N 37, ст. 4702; 2014 N 2, ст. 126; N 6, ст. 582; N 27, ст. 3776; 2015, N 26, ст. 3898; N 43, ст. 5976; 2016 N 2, ст. 325; N 8, ст. 1121; N 28, ст. 4741), </w:t>
      </w:r>
      <w:hyperlink r:id="rId10" w:history="1">
        <w:r>
          <w:rPr>
            <w:rStyle w:val="a4"/>
          </w:rPr>
          <w:t>пунктом 17</w:t>
        </w:r>
      </w:hyperlink>
      <w:r>
        <w:t xml:space="preserve"> Правил разработки утверждения федеральных государственных образовательных стандартов и внесения в них изменений,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</w:t>
      </w:r>
      <w:r>
        <w:t xml:space="preserve">ийской Федерации от 5 августа 2013 г. N 661 (Собрание законодательстве Российской Федерации, 2013, N 33, ст. 4377; 2014, N 38, ст. 5069; 2016, N 16: ст. 2230), а также в целях реализации </w:t>
      </w:r>
      <w:hyperlink r:id="rId12" w:history="1">
        <w:r>
          <w:rPr>
            <w:rStyle w:val="a4"/>
          </w:rPr>
          <w:t xml:space="preserve">пункта </w:t>
        </w:r>
        <w:r>
          <w:rPr>
            <w:rStyle w:val="a4"/>
          </w:rPr>
          <w:t>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</w:t>
      </w:r>
      <w:hyperlink r:id="rId13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3 м</w:t>
      </w:r>
      <w:r>
        <w:t>арта 2015 г. N 349-р (Собрание законодательства Российской Федерации, 2015, N 11, ст. 1629), приказываю:</w:t>
      </w:r>
    </w:p>
    <w:p w:rsidR="00000000" w:rsidRDefault="0095632D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</w:t>
      </w:r>
      <w:r>
        <w:t>циальности 43.02.13 Технология парикмахерского искусства.</w:t>
      </w:r>
    </w:p>
    <w:bookmarkEnd w:id="0"/>
    <w:p w:rsidR="00000000" w:rsidRDefault="0095632D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5632D">
            <w:pPr>
              <w:pStyle w:val="a8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5632D">
            <w:pPr>
              <w:pStyle w:val="a7"/>
              <w:jc w:val="right"/>
            </w:pPr>
            <w:r>
              <w:t>О.Ю. Васильева</w:t>
            </w:r>
          </w:p>
        </w:tc>
      </w:tr>
    </w:tbl>
    <w:p w:rsidR="00000000" w:rsidRDefault="0095632D"/>
    <w:p w:rsidR="00000000" w:rsidRDefault="0095632D">
      <w:pPr>
        <w:pStyle w:val="a8"/>
      </w:pPr>
      <w:r>
        <w:t>Зарегистрировано в Минюсте РФ 20 декабря 2016 г.</w:t>
      </w:r>
    </w:p>
    <w:p w:rsidR="00000000" w:rsidRDefault="0095632D">
      <w:pPr>
        <w:pStyle w:val="a8"/>
      </w:pPr>
      <w:r>
        <w:t>Регистрационный N 44830</w:t>
      </w:r>
    </w:p>
    <w:p w:rsidR="00000000" w:rsidRDefault="0095632D"/>
    <w:p w:rsidR="00000000" w:rsidRDefault="0095632D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000000" w:rsidRDefault="0095632D"/>
    <w:p w:rsidR="00000000" w:rsidRDefault="0095632D">
      <w:pPr>
        <w:pStyle w:val="1"/>
      </w:pPr>
      <w:r>
        <w:t>Федеральный государственный образовательный стандарт</w:t>
      </w:r>
      <w:r>
        <w:br/>
      </w:r>
      <w:r>
        <w:t>среднего профессионального образования по специальности 43.02.13 технология парикмахерского искусства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9 декабря 2016 г. N 1558)</w:t>
      </w:r>
    </w:p>
    <w:p w:rsidR="00000000" w:rsidRDefault="0095632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5632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95632D">
      <w:pPr>
        <w:pStyle w:val="1"/>
      </w:pPr>
      <w:bookmarkStart w:id="2" w:name="sub_1100"/>
      <w:r>
        <w:t>I. Общие положения</w:t>
      </w:r>
    </w:p>
    <w:bookmarkEnd w:id="2"/>
    <w:p w:rsidR="00000000" w:rsidRDefault="0095632D"/>
    <w:p w:rsidR="00000000" w:rsidRDefault="0095632D">
      <w:bookmarkStart w:id="3" w:name="sub_1011"/>
      <w:r>
        <w:t>1.1. Настоящий федеральный государственный образовательный стандарт среднего профессионального образования (далее - ФГОС С</w:t>
      </w:r>
      <w:r>
        <w:t xml:space="preserve">ПО) представляет собой совокупность обязательных требований к среднему профессиональному образованию (далее - СПО) по специальности </w:t>
      </w:r>
      <w:hyperlink r:id="rId15" w:history="1">
        <w:r>
          <w:rPr>
            <w:rStyle w:val="a4"/>
          </w:rPr>
          <w:t>43.02.13</w:t>
        </w:r>
      </w:hyperlink>
      <w:r>
        <w:t xml:space="preserve"> Технология парикмахерского искусства (далее - </w:t>
      </w:r>
      <w:r>
        <w:t>специальность).</w:t>
      </w:r>
    </w:p>
    <w:p w:rsidR="00000000" w:rsidRDefault="0095632D">
      <w:bookmarkStart w:id="4" w:name="sub_1012"/>
      <w:bookmarkEnd w:id="3"/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000000" w:rsidRDefault="0095632D">
      <w:bookmarkStart w:id="5" w:name="sub_1013"/>
      <w:bookmarkEnd w:id="4"/>
      <w:r>
        <w:t>1.3. Сод</w:t>
      </w:r>
      <w:r>
        <w:t xml:space="preserve">ержание СПО по специальности определяется программой подготовки специалистов </w:t>
      </w:r>
      <w:r>
        <w:lastRenderedPageBreak/>
        <w:t>среднего звена (далее - образовательная программа), разрабатываемой и утверждаемой образовательной организацией самостоятельно в соответствии с настоящим ФГОС СПО.</w:t>
      </w:r>
    </w:p>
    <w:p w:rsidR="00000000" w:rsidRDefault="0095632D">
      <w:bookmarkStart w:id="6" w:name="sub_1014"/>
      <w:bookmarkEnd w:id="5"/>
      <w:r>
        <w:t xml:space="preserve">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6" w:history="1">
        <w:r>
          <w:rPr>
            <w:rStyle w:val="a4"/>
          </w:rPr>
          <w:t>33</w:t>
        </w:r>
      </w:hyperlink>
      <w:r>
        <w:t xml:space="preserve"> Сервис, оказание услуг н</w:t>
      </w:r>
      <w:r>
        <w:t>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000000" w:rsidRDefault="0095632D">
      <w:bookmarkStart w:id="7" w:name="sub_1015"/>
      <w:bookmarkEnd w:id="6"/>
      <w:r>
        <w:t>1.5.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000000" w:rsidRDefault="0095632D">
      <w:bookmarkStart w:id="8" w:name="sub_1016"/>
      <w:bookmarkEnd w:id="7"/>
      <w:r>
        <w:t xml:space="preserve">1.6. При реализации образовательной программы образовательная организация вправе применять электронное </w:t>
      </w:r>
      <w:r>
        <w:t>обучение и дистанционные образовательные технологии.</w:t>
      </w:r>
    </w:p>
    <w:bookmarkEnd w:id="8"/>
    <w:p w:rsidR="00000000" w:rsidRDefault="0095632D"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</w:t>
      </w:r>
      <w:r>
        <w:t xml:space="preserve"> доступных для них формах.</w:t>
      </w:r>
    </w:p>
    <w:p w:rsidR="00000000" w:rsidRDefault="0095632D">
      <w:bookmarkStart w:id="9" w:name="sub_1017"/>
      <w:r>
        <w:t>1.7.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000000" w:rsidRDefault="0095632D">
      <w:bookmarkStart w:id="10" w:name="sub_1018"/>
      <w:bookmarkEnd w:id="9"/>
      <w:r>
        <w:t>1.8. Реализация образовательной программы осуществляется на госуда</w:t>
      </w:r>
      <w:r>
        <w:t>рственном языке Российской Федерации, если иное не определено локальным нормативным актом образовательной организации.</w:t>
      </w:r>
    </w:p>
    <w:bookmarkEnd w:id="10"/>
    <w:p w:rsidR="00000000" w:rsidRDefault="0095632D">
      <w:r>
        <w:t>Реализация образовательной программы образовательной организацией, расположенной на территории республики Российской Федерации, м</w:t>
      </w:r>
      <w:r>
        <w:t>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</w:t>
      </w:r>
      <w:r>
        <w:t>ляться в ущерб государственному языку Российской Федерации</w:t>
      </w:r>
      <w:hyperlink w:anchor="sub_222" w:history="1">
        <w:r>
          <w:rPr>
            <w:rStyle w:val="a4"/>
          </w:rPr>
          <w:t>**</w:t>
        </w:r>
      </w:hyperlink>
      <w:r>
        <w:t>.</w:t>
      </w:r>
    </w:p>
    <w:p w:rsidR="00000000" w:rsidRDefault="0095632D">
      <w:bookmarkStart w:id="11" w:name="sub_1019"/>
      <w:r>
        <w:t>1.9.Срок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bookmarkEnd w:id="11"/>
    <w:p w:rsidR="00000000" w:rsidRDefault="0095632D">
      <w:r>
        <w:t>на базе основного общего образования - 3 года 10 месяцев;</w:t>
      </w:r>
    </w:p>
    <w:p w:rsidR="00000000" w:rsidRDefault="0095632D">
      <w:r>
        <w:t>на базе среднего общего образования -2 года 10 месяцев.</w:t>
      </w:r>
    </w:p>
    <w:p w:rsidR="00000000" w:rsidRDefault="0095632D"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</w:t>
      </w:r>
      <w:r>
        <w:t>ых технологий, увеличивается по сравнению со сроком получения образования в очной форме обучения:</w:t>
      </w:r>
    </w:p>
    <w:p w:rsidR="00000000" w:rsidRDefault="0095632D">
      <w:r>
        <w:t>не более чем на 1,5 года при получении образования на базе основного общего образования;</w:t>
      </w:r>
    </w:p>
    <w:p w:rsidR="00000000" w:rsidRDefault="0095632D">
      <w:r>
        <w:t>не более чем на 1 год при получении образования на базе среднего обще</w:t>
      </w:r>
      <w:r>
        <w:t>го образования.</w:t>
      </w:r>
    </w:p>
    <w:p w:rsidR="00000000" w:rsidRDefault="0095632D">
      <w:r>
        <w:t>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</w:t>
      </w:r>
      <w:r>
        <w:t xml:space="preserve">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</w:t>
      </w:r>
      <w:r>
        <w:t>ния.</w:t>
      </w:r>
    </w:p>
    <w:p w:rsidR="00000000" w:rsidRDefault="0095632D"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 определяются образовательной организацией самостоятельно в пределах с</w:t>
      </w:r>
      <w:r>
        <w:t>роков, установленных настоящим пунктом.</w:t>
      </w:r>
    </w:p>
    <w:p w:rsidR="00000000" w:rsidRDefault="0095632D">
      <w:bookmarkStart w:id="12" w:name="sub_1110"/>
      <w:r>
        <w:t xml:space="preserve">1.10. Образовательная программа, реализуемая на базе основного общего образования, разрабатывается образовательной организацией на основе требований </w:t>
      </w:r>
      <w:hyperlink r:id="rId17" w:history="1">
        <w:r>
          <w:rPr>
            <w:rStyle w:val="a4"/>
          </w:rPr>
          <w:t>федерального государственного образовательного стандарта</w:t>
        </w:r>
      </w:hyperlink>
      <w:r>
        <w:t xml:space="preserve"> среднего общего образования и ФГОС СПО с учетом получаемой специальности.</w:t>
      </w:r>
    </w:p>
    <w:p w:rsidR="00000000" w:rsidRDefault="0095632D">
      <w:bookmarkStart w:id="13" w:name="sub_1111"/>
      <w:bookmarkEnd w:id="12"/>
      <w:r>
        <w:t>1.11 Образовательная организация разрабатывает образовательную программу в соответствии с квалификацие</w:t>
      </w:r>
      <w:r>
        <w:t xml:space="preserve">й специалиста среднего звена, указанной в </w:t>
      </w:r>
      <w:hyperlink r:id="rId18" w:history="1">
        <w:r>
          <w:rPr>
            <w:rStyle w:val="a4"/>
          </w:rPr>
          <w:t xml:space="preserve">Перечне </w:t>
        </w:r>
      </w:hyperlink>
      <w:r>
        <w:t xml:space="preserve">специальностей среднего профессионального образования, утвержденном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Министерства образования и </w:t>
      </w:r>
      <w:r>
        <w:lastRenderedPageBreak/>
        <w:t>науки Российской Федерации от 29 октября 2013 г. N 1199 (зарегистрирован Министерством юстиции Российской Федерации 26 декабря 2013 г., регистрационный N 30861), с изменениями, внесенными приказами Министерства образования и на</w:t>
      </w:r>
      <w:r>
        <w:t xml:space="preserve">уки Российской Федерации </w:t>
      </w:r>
      <w:hyperlink r:id="rId20" w:history="1">
        <w:r>
          <w:rPr>
            <w:rStyle w:val="a4"/>
          </w:rPr>
          <w:t>от 14 мая 2014 г. N 518</w:t>
        </w:r>
      </w:hyperlink>
      <w:r>
        <w:t xml:space="preserve"> (зарегистрирован Министерством юстиции Российской Федерации 28 мая 2014 г., регистрационный N 32461), </w:t>
      </w:r>
      <w:hyperlink r:id="rId21" w:history="1">
        <w:r>
          <w:rPr>
            <w:rStyle w:val="a4"/>
          </w:rPr>
          <w:t>от 18 ноября 2015 г. N 1350</w:t>
        </w:r>
      </w:hyperlink>
      <w:r>
        <w:t xml:space="preserve"> (зарегистрирован Министерством юстиции Российской Федерации 3 декабря 2015 г., регистрационный N 39955) и </w:t>
      </w:r>
      <w:hyperlink r:id="rId22" w:history="1">
        <w:r>
          <w:rPr>
            <w:rStyle w:val="a4"/>
          </w:rPr>
          <w:t>от 25 ноября 2016 г. N 1477</w:t>
        </w:r>
      </w:hyperlink>
      <w:r>
        <w:t xml:space="preserve"> (зар</w:t>
      </w:r>
      <w:r>
        <w:t>егистрирован Министерством юстиции Российской Федерации 12 декабря 2016 г., регистрационный N 44662):</w:t>
      </w:r>
    </w:p>
    <w:bookmarkEnd w:id="13"/>
    <w:p w:rsidR="00000000" w:rsidRDefault="0095632D">
      <w:r>
        <w:t>парикмахер-модельер.</w:t>
      </w:r>
    </w:p>
    <w:p w:rsidR="00000000" w:rsidRDefault="0095632D"/>
    <w:p w:rsidR="00000000" w:rsidRDefault="0095632D">
      <w:pPr>
        <w:pStyle w:val="1"/>
      </w:pPr>
      <w:bookmarkStart w:id="14" w:name="sub_1200"/>
      <w:r>
        <w:t>II. Требования к структуре образовательной программы</w:t>
      </w:r>
    </w:p>
    <w:bookmarkEnd w:id="14"/>
    <w:p w:rsidR="00000000" w:rsidRDefault="0095632D"/>
    <w:p w:rsidR="00000000" w:rsidRDefault="0095632D">
      <w:bookmarkStart w:id="15" w:name="sub_1021"/>
      <w:r>
        <w:t>2.1. Структура образовательной программы включ</w:t>
      </w:r>
      <w:r>
        <w:t>ает обязательную часть и часть, формируемую участниками образовательных отношений (вариативную часть).</w:t>
      </w:r>
    </w:p>
    <w:bookmarkEnd w:id="15"/>
    <w:p w:rsidR="00000000" w:rsidRDefault="0095632D"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sub_1300" w:history="1">
        <w:r>
          <w:rPr>
            <w:rStyle w:val="a4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000000" w:rsidRDefault="0095632D">
      <w:r>
        <w:t>Вариативная часть образовательной программы (не менее 30 процентов) дает возможность расширения основного(ых) вида(ов) де</w:t>
      </w:r>
      <w:r>
        <w:t xml:space="preserve">ятельности, к которым должен быть готов выпускник, освоивший образовательную программу, согласно получаемой квалификации, указанной в </w:t>
      </w:r>
      <w:hyperlink w:anchor="sub_1111" w:history="1">
        <w:r>
          <w:rPr>
            <w:rStyle w:val="a4"/>
          </w:rPr>
          <w:t>пункте 1.11</w:t>
        </w:r>
      </w:hyperlink>
      <w:r>
        <w:t xml:space="preserve"> настоящего ФГОС СПО (далее - основные виды деятельности), углубления подготовки обуч</w:t>
      </w:r>
      <w:r>
        <w:t>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000000" w:rsidRDefault="0095632D">
      <w:r>
        <w:t>Конкретное соотношение объемов обязательной части и вариативной части образовательной</w:t>
      </w:r>
      <w:r>
        <w:t xml:space="preserve">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000000" w:rsidRDefault="0095632D">
      <w:bookmarkStart w:id="16" w:name="sub_1022"/>
      <w:r>
        <w:t>2.2. Образовательная программа имеет следующую структуру</w:t>
      </w:r>
      <w:r>
        <w:t>:</w:t>
      </w:r>
    </w:p>
    <w:bookmarkEnd w:id="16"/>
    <w:p w:rsidR="00000000" w:rsidRDefault="0095632D">
      <w:r>
        <w:t>общий гуманитарный и социально-экономический цикл;</w:t>
      </w:r>
    </w:p>
    <w:p w:rsidR="00000000" w:rsidRDefault="0095632D">
      <w:r>
        <w:t>математический и общий естественнонаучный цикл;</w:t>
      </w:r>
    </w:p>
    <w:p w:rsidR="00000000" w:rsidRDefault="0095632D">
      <w:r>
        <w:t>общепрофессиональный цикл;</w:t>
      </w:r>
    </w:p>
    <w:p w:rsidR="00000000" w:rsidRDefault="0095632D">
      <w:r>
        <w:t>профессиональный цикл;</w:t>
      </w:r>
    </w:p>
    <w:p w:rsidR="00000000" w:rsidRDefault="0095632D">
      <w:r>
        <w:t>государственная итоговая аттестация, которая заве</w:t>
      </w:r>
      <w:r>
        <w:t xml:space="preserve">ршается присвоением квалификации специалиста среднего звена, указанной в </w:t>
      </w:r>
      <w:hyperlink w:anchor="sub_1111" w:history="1">
        <w:r>
          <w:rPr>
            <w:rStyle w:val="a4"/>
          </w:rPr>
          <w:t>пункте 1.11</w:t>
        </w:r>
      </w:hyperlink>
      <w:r>
        <w:t xml:space="preserve"> настоящего ФГОС СПО.</w:t>
      </w:r>
    </w:p>
    <w:p w:rsidR="00000000" w:rsidRDefault="0095632D"/>
    <w:p w:rsidR="00000000" w:rsidRDefault="0095632D">
      <w:pPr>
        <w:ind w:firstLine="698"/>
        <w:jc w:val="right"/>
      </w:pPr>
      <w:bookmarkStart w:id="17" w:name="sub_10"/>
      <w:r>
        <w:rPr>
          <w:rStyle w:val="a3"/>
        </w:rPr>
        <w:t>Таблица 1</w:t>
      </w:r>
    </w:p>
    <w:bookmarkEnd w:id="17"/>
    <w:p w:rsidR="00000000" w:rsidRDefault="0095632D"/>
    <w:p w:rsidR="00000000" w:rsidRDefault="0095632D">
      <w:pPr>
        <w:pStyle w:val="1"/>
      </w:pPr>
      <w:r>
        <w:t>Структура и объем образовательной программы</w:t>
      </w:r>
    </w:p>
    <w:p w:rsidR="00000000" w:rsidRDefault="009563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85"/>
        <w:gridCol w:w="33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32D">
            <w:pPr>
              <w:pStyle w:val="a7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32D">
            <w:pPr>
              <w:pStyle w:val="a7"/>
              <w:jc w:val="center"/>
            </w:pPr>
            <w:r>
              <w:t>Объем образовательн</w:t>
            </w:r>
            <w:r>
              <w:t>ой программы в академических часах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32D">
            <w:pPr>
              <w:pStyle w:val="a8"/>
            </w:pPr>
            <w:r>
              <w:t>Общий гуманитарный и социально-экономический цикл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32D">
            <w:pPr>
              <w:pStyle w:val="a7"/>
              <w:jc w:val="center"/>
            </w:pPr>
            <w:r>
              <w:t>не менее</w:t>
            </w:r>
          </w:p>
          <w:p w:rsidR="00000000" w:rsidRDefault="0095632D">
            <w:pPr>
              <w:pStyle w:val="a7"/>
              <w:jc w:val="center"/>
            </w:pPr>
            <w:r>
              <w:t>468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32D">
            <w:pPr>
              <w:pStyle w:val="a8"/>
            </w:pPr>
            <w:r>
              <w:t>Математический и общий естественнонаучный цикл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32D">
            <w:pPr>
              <w:pStyle w:val="a7"/>
              <w:jc w:val="center"/>
            </w:pPr>
            <w:r>
              <w:t>не менее</w:t>
            </w:r>
          </w:p>
          <w:p w:rsidR="00000000" w:rsidRDefault="0095632D">
            <w:pPr>
              <w:pStyle w:val="a7"/>
              <w:jc w:val="center"/>
            </w:pPr>
            <w: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32D">
            <w:pPr>
              <w:pStyle w:val="a8"/>
            </w:pPr>
            <w:r>
              <w:t>Общепрофессиональный цикл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32D">
            <w:pPr>
              <w:pStyle w:val="a7"/>
              <w:jc w:val="center"/>
            </w:pPr>
            <w:r>
              <w:t>не менее</w:t>
            </w:r>
          </w:p>
          <w:p w:rsidR="00000000" w:rsidRDefault="0095632D">
            <w:pPr>
              <w:pStyle w:val="a7"/>
              <w:jc w:val="center"/>
            </w:pPr>
            <w:r>
              <w:t>648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32D">
            <w:pPr>
              <w:pStyle w:val="a8"/>
            </w:pPr>
            <w:r>
              <w:lastRenderedPageBreak/>
              <w:t>Профессиональный цикл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32D">
            <w:pPr>
              <w:pStyle w:val="a7"/>
              <w:jc w:val="center"/>
            </w:pPr>
            <w:r>
              <w:t>не менее</w:t>
            </w:r>
          </w:p>
          <w:p w:rsidR="00000000" w:rsidRDefault="0095632D">
            <w:pPr>
              <w:pStyle w:val="a7"/>
              <w:jc w:val="center"/>
            </w:pPr>
            <w:r>
              <w:t>1728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32D">
            <w:pPr>
              <w:pStyle w:val="a8"/>
            </w:pPr>
            <w:r>
              <w:t>Государственная итоговая аттестация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32D">
            <w:pPr>
              <w:pStyle w:val="a7"/>
              <w:jc w:val="center"/>
            </w:pPr>
            <w: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632D">
            <w:pPr>
              <w:pStyle w:val="1"/>
            </w:pPr>
            <w:r>
              <w:t>Общий объем образовательной программы: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32D">
            <w:pPr>
              <w:pStyle w:val="a8"/>
            </w:pPr>
            <w:r>
              <w:t>на базе среднего общего образования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32D">
            <w:pPr>
              <w:pStyle w:val="a7"/>
              <w:jc w:val="center"/>
            </w:pPr>
            <w:r>
              <w:t>4464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32D">
            <w:pPr>
              <w:pStyle w:val="a8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32D">
            <w:pPr>
              <w:pStyle w:val="a7"/>
              <w:jc w:val="center"/>
            </w:pPr>
            <w:r>
              <w:t>5940</w:t>
            </w:r>
          </w:p>
        </w:tc>
      </w:tr>
    </w:tbl>
    <w:p w:rsidR="00000000" w:rsidRDefault="0095632D"/>
    <w:p w:rsidR="00000000" w:rsidRDefault="0095632D">
      <w:bookmarkStart w:id="18" w:name="sub_1023"/>
      <w:r>
        <w:t>2.3. 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bookmarkEnd w:id="18"/>
    <w:p w:rsidR="00000000" w:rsidRDefault="0095632D">
      <w:r>
        <w:t>Для определения объема образовательной програм</w:t>
      </w:r>
      <w:r>
        <w:t>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000000" w:rsidRDefault="0095632D">
      <w:bookmarkStart w:id="19" w:name="sub_1024"/>
      <w:r>
        <w:t xml:space="preserve">2.4. В общем гуманитарном и социально-экономическом, математическом и общем естественнонаучном, </w:t>
      </w:r>
      <w:r>
        <w:t>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</w:t>
      </w:r>
      <w:r>
        <w:t>, лекция, семинар), практики (в профессиональном цикле) и самостоятельной работы обучающихся.</w:t>
      </w:r>
    </w:p>
    <w:bookmarkEnd w:id="19"/>
    <w:p w:rsidR="00000000" w:rsidRDefault="0095632D">
      <w: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</w:t>
      </w:r>
      <w:r>
        <w:t xml:space="preserve">ентов от объема учебных циклов образовательной программы, предусмотренного </w:t>
      </w:r>
      <w:hyperlink w:anchor="sub_10" w:history="1">
        <w:r>
          <w:rPr>
            <w:rStyle w:val="a4"/>
          </w:rPr>
          <w:t>Таблицей 1</w:t>
        </w:r>
      </w:hyperlink>
      <w:r>
        <w:t xml:space="preserve"> настоящего ФГОС СПО, в очно-заочной форме обучения - не менее 25 процентов, в заочной форме обучения - не менее 10 процентов.</w:t>
      </w:r>
    </w:p>
    <w:p w:rsidR="00000000" w:rsidRDefault="0095632D">
      <w:r>
        <w:t>В учебные циклы вклю</w:t>
      </w:r>
      <w:r>
        <w:t>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</w:t>
      </w:r>
      <w:r>
        <w:t>иплинам, модулям и практикам результатов обучения.</w:t>
      </w:r>
    </w:p>
    <w:p w:rsidR="00000000" w:rsidRDefault="0095632D">
      <w:bookmarkStart w:id="20" w:name="sub_1025"/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</w:t>
      </w:r>
      <w:r>
        <w:t>я", "Психология общения", "Иностранный язык в профессиональной деятельности", "Физическая культура".</w:t>
      </w:r>
    </w:p>
    <w:bookmarkEnd w:id="20"/>
    <w:p w:rsidR="00000000" w:rsidRDefault="0095632D"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</w:t>
      </w:r>
      <w:r>
        <w:t>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00000" w:rsidRDefault="0095632D">
      <w:bookmarkStart w:id="21" w:name="sub_1026"/>
      <w:r>
        <w:t>2.6. При формировании образовательной программы образовательная организация должна предусматривать вклю</w:t>
      </w:r>
      <w:r>
        <w:t>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000000" w:rsidRDefault="0095632D">
      <w:bookmarkStart w:id="22" w:name="sub_1027"/>
      <w:bookmarkEnd w:id="21"/>
      <w:r>
        <w:t>2.7. Освоение общепрофессионального цикла образовательной программы в очно</w:t>
      </w:r>
      <w:r>
        <w:t>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bookmarkEnd w:id="22"/>
    <w:p w:rsidR="00000000" w:rsidRDefault="0095632D">
      <w:r>
        <w:t xml:space="preserve"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</w:t>
      </w:r>
      <w:r>
        <w:lastRenderedPageBreak/>
        <w:t>жизнедеятельности", предусмотренного на изучение основ военной службы, на освоение основ медицинс</w:t>
      </w:r>
      <w:r>
        <w:t>ких знаний.</w:t>
      </w:r>
    </w:p>
    <w:p w:rsidR="00000000" w:rsidRDefault="0095632D">
      <w:bookmarkStart w:id="23" w:name="sub_1028"/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bookmarkEnd w:id="23"/>
    <w:p w:rsidR="00000000" w:rsidRDefault="0095632D">
      <w:r>
        <w:t>В профессиональный цикл образователь</w:t>
      </w:r>
      <w:r>
        <w:t>ной программы входят следующие виды практик: учебная практика и производственная практика.</w:t>
      </w:r>
    </w:p>
    <w:p w:rsidR="00000000" w:rsidRDefault="0095632D">
      <w: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</w:t>
      </w:r>
      <w:r>
        <w:t>лько периодов, так и рассредоточено, чередуясь с теоретическими занятиями в рамках профессиональных модулей.</w:t>
      </w:r>
    </w:p>
    <w:p w:rsidR="00000000" w:rsidRDefault="0095632D"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</w:t>
      </w:r>
      <w:r>
        <w:t>енее 25 процентов от профессионального цикла образовательной программы.</w:t>
      </w:r>
    </w:p>
    <w:p w:rsidR="00000000" w:rsidRDefault="0095632D">
      <w:bookmarkStart w:id="24" w:name="sub_1029"/>
      <w:r>
        <w:t xml:space="preserve">2.9. Государственная </w:t>
      </w:r>
      <w:r>
        <w:t>итоговая аттестация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экзамен включается в выпускную квалификационную работу или проводится в виде го</w:t>
      </w:r>
      <w:r>
        <w:t>сударственного экзамена.</w:t>
      </w:r>
    </w:p>
    <w:bookmarkEnd w:id="24"/>
    <w:p w:rsidR="00000000" w:rsidRDefault="0095632D"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000000" w:rsidRDefault="0095632D"/>
    <w:p w:rsidR="00000000" w:rsidRDefault="0095632D">
      <w:pPr>
        <w:pStyle w:val="1"/>
      </w:pPr>
      <w:bookmarkStart w:id="25" w:name="sub_1300"/>
      <w:r>
        <w:t>III. Требования к результатам осв</w:t>
      </w:r>
      <w:r>
        <w:t>оения образовательной программы</w:t>
      </w:r>
    </w:p>
    <w:bookmarkEnd w:id="25"/>
    <w:p w:rsidR="00000000" w:rsidRDefault="0095632D"/>
    <w:p w:rsidR="00000000" w:rsidRDefault="0095632D">
      <w:bookmarkStart w:id="26" w:name="sub_1031"/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00000" w:rsidRDefault="0095632D">
      <w:bookmarkStart w:id="27" w:name="sub_1032"/>
      <w:bookmarkEnd w:id="26"/>
      <w:r>
        <w:t>3.2. Выпускник, освоивший образовательную программу, должен об</w:t>
      </w:r>
      <w:r>
        <w:t>ладать следующими общими компетенциями (далее - ОК):</w:t>
      </w:r>
    </w:p>
    <w:bookmarkEnd w:id="27"/>
    <w:p w:rsidR="00000000" w:rsidRDefault="0095632D">
      <w:r>
        <w:t>ОК 01. Выбирать способы решения задач профессиональной деятельности, применительно к различным контекстам.</w:t>
      </w:r>
    </w:p>
    <w:p w:rsidR="00000000" w:rsidRDefault="0095632D">
      <w:r>
        <w:t>ОК 02. Осуществлять поиск, анализ и интерпретацию информации, необходимой для выполнения</w:t>
      </w:r>
      <w:r>
        <w:t xml:space="preserve"> задач профессиональной деятельности.</w:t>
      </w:r>
    </w:p>
    <w:p w:rsidR="00000000" w:rsidRDefault="0095632D">
      <w:r>
        <w:t>ОК 03. Планировать и реализовывать собственное профессиональное и личностное развитие.</w:t>
      </w:r>
    </w:p>
    <w:p w:rsidR="00000000" w:rsidRDefault="0095632D">
      <w:r>
        <w:t>ОК 04. Работать в коллективе и команде, эффективно взаимодействовать с коллегами, руководством, клиентами.</w:t>
      </w:r>
    </w:p>
    <w:p w:rsidR="00000000" w:rsidRDefault="0095632D">
      <w:r>
        <w:t>ОК 05. Осуществлять устн</w:t>
      </w:r>
      <w:r>
        <w:t>ую и письменную коммуникацию на государственном языке с учетом особенностей социального и культурного контекста.</w:t>
      </w:r>
    </w:p>
    <w:p w:rsidR="00000000" w:rsidRDefault="0095632D"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00000" w:rsidRDefault="0095632D">
      <w:r>
        <w:t xml:space="preserve">ОК </w:t>
      </w:r>
      <w:r>
        <w:t>07. Содействовать сохранению окружающей среды, ресурсосбережению, эффективно действовать в чрезвычайных ситуациях.</w:t>
      </w:r>
    </w:p>
    <w:p w:rsidR="00000000" w:rsidRDefault="0095632D">
      <w:r>
        <w:t xml:space="preserve">OK 08. Использовать средства физической культуры для сохранения и укрепления здоровья в процессе профессиональной деятельности и поддержания </w:t>
      </w:r>
      <w:r>
        <w:t>необходимого уровня физической подготовленности.</w:t>
      </w:r>
    </w:p>
    <w:p w:rsidR="00000000" w:rsidRDefault="0095632D">
      <w:r>
        <w:t>ОК 09. Использовать информационные технологии в профессиональной деятельности.</w:t>
      </w:r>
    </w:p>
    <w:p w:rsidR="00000000" w:rsidRDefault="0095632D">
      <w:r>
        <w:t>ОК 10. Пользоваться профессиональной документацией на государственном и иностранном языке.</w:t>
      </w:r>
    </w:p>
    <w:p w:rsidR="00000000" w:rsidRDefault="0095632D">
      <w:r>
        <w:t>ОК 11. Планировать предпринимательску</w:t>
      </w:r>
      <w:r>
        <w:t>ю деятельность в профессиональной сфере.</w:t>
      </w:r>
    </w:p>
    <w:p w:rsidR="00000000" w:rsidRDefault="0095632D">
      <w:bookmarkStart w:id="28" w:name="sub_1033"/>
      <w:r>
        <w:lastRenderedPageBreak/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sub_1111" w:history="1">
        <w:r>
          <w:rPr>
            <w:rStyle w:val="a4"/>
          </w:rPr>
          <w:t>пункте 1.11</w:t>
        </w:r>
      </w:hyperlink>
      <w:r>
        <w:t xml:space="preserve"> настоящего ФГОС СПО:</w:t>
      </w:r>
    </w:p>
    <w:bookmarkEnd w:id="28"/>
    <w:p w:rsidR="00000000" w:rsidRDefault="0095632D">
      <w:r>
        <w:t>предоставление современных парикмахерских услуг;</w:t>
      </w:r>
    </w:p>
    <w:p w:rsidR="00000000" w:rsidRDefault="0095632D">
      <w:r>
        <w:t>подбор и выполнение причесок различного назначения, с учетом потребностей клиента;</w:t>
      </w:r>
    </w:p>
    <w:p w:rsidR="00000000" w:rsidRDefault="0095632D">
      <w:r>
        <w:t>создание имиджа, разработка и выполнение художественного образа на основании за</w:t>
      </w:r>
      <w:r>
        <w:t>каза.</w:t>
      </w:r>
    </w:p>
    <w:p w:rsidR="00000000" w:rsidRDefault="0095632D">
      <w:r>
        <w:t xml:space="preserve">Также к основным видам деятельности относится освоение одной или нескольких профессий рабочих, должностей служащих, указанных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настоящему ФГОС СПО.</w:t>
      </w:r>
    </w:p>
    <w:p w:rsidR="00000000" w:rsidRDefault="0095632D">
      <w:bookmarkStart w:id="29" w:name="sub_1034"/>
      <w:r>
        <w:t>3.4. Выпускник, освоивший образовательную програм</w:t>
      </w:r>
      <w:r>
        <w:t>му, должен обладать профессиональными компетенциями (далее - ПК), соответствующими основным видам деятельности:</w:t>
      </w:r>
    </w:p>
    <w:p w:rsidR="00000000" w:rsidRDefault="0095632D">
      <w:bookmarkStart w:id="30" w:name="sub_1341"/>
      <w:bookmarkEnd w:id="29"/>
      <w:r>
        <w:t>3.4.1. Предоставление современных парикмахерских услуг:</w:t>
      </w:r>
    </w:p>
    <w:bookmarkEnd w:id="30"/>
    <w:p w:rsidR="00000000" w:rsidRDefault="0095632D">
      <w:r>
        <w:t>ПК 1.1. Выполнять современные стрижки и укладки с учетом индивид</w:t>
      </w:r>
      <w:r>
        <w:t>уальных особенностей клиента.</w:t>
      </w:r>
    </w:p>
    <w:p w:rsidR="00000000" w:rsidRDefault="0095632D">
      <w:r>
        <w:t>ПК. 1.2. Выполнять окрашивание волос с использованием современных технологий.</w:t>
      </w:r>
    </w:p>
    <w:p w:rsidR="00000000" w:rsidRDefault="0095632D">
      <w:r>
        <w:t>ПК 1.3. Выполнять химическую (перманентную) завивку с использованием современных технологий.</w:t>
      </w:r>
    </w:p>
    <w:p w:rsidR="00000000" w:rsidRDefault="0095632D">
      <w:r>
        <w:t>ПК 1.4. Проводить консультации по подбору профессиональ</w:t>
      </w:r>
      <w:r>
        <w:t>ных средств для домашнего использования.</w:t>
      </w:r>
    </w:p>
    <w:p w:rsidR="00000000" w:rsidRDefault="0095632D">
      <w:bookmarkStart w:id="31" w:name="sub_1342"/>
      <w:r>
        <w:t>3.4.2. Подбор и выполнение причесок различного назначения, с учетом потребностей клиента:</w:t>
      </w:r>
    </w:p>
    <w:bookmarkEnd w:id="31"/>
    <w:p w:rsidR="00000000" w:rsidRDefault="0095632D">
      <w:r>
        <w:t>ПК 2.1. Выполнять прически различного назначения (повседневные, вечерние, для торжественных случаев) с учетом актуальных тенденций моды.</w:t>
      </w:r>
    </w:p>
    <w:p w:rsidR="00000000" w:rsidRDefault="0095632D">
      <w:r>
        <w:t>ПК 2.2. Изготовлять постижерные изделия из натуральных и искусственных волос с учетом потребностей клиента.</w:t>
      </w:r>
    </w:p>
    <w:p w:rsidR="00000000" w:rsidRDefault="0095632D">
      <w:r>
        <w:t>ПК 2.3. Вып</w:t>
      </w:r>
      <w:r>
        <w:t>олнять сложные прически на волосах различной длины с применением украшений и постижерных изделий, с учетом потребностей клиента.</w:t>
      </w:r>
    </w:p>
    <w:p w:rsidR="00000000" w:rsidRDefault="0095632D">
      <w:bookmarkStart w:id="32" w:name="sub_1343"/>
      <w:r>
        <w:t>3.4.3. Создание имиджа, разработка и выполнение художественного образа на основании заказа:</w:t>
      </w:r>
    </w:p>
    <w:bookmarkEnd w:id="32"/>
    <w:p w:rsidR="00000000" w:rsidRDefault="0095632D">
      <w:r>
        <w:t>ПК 3.1. Создавать и</w:t>
      </w:r>
      <w:r>
        <w:t>мидж клиента на основе анализа индивидуальных особенностей и его потребностей.</w:t>
      </w:r>
    </w:p>
    <w:p w:rsidR="00000000" w:rsidRDefault="0095632D">
      <w:r>
        <w:t>ПК 3.2. Разрабатывать концепцию художественного образа на основании заказа.</w:t>
      </w:r>
    </w:p>
    <w:p w:rsidR="00000000" w:rsidRDefault="0095632D">
      <w:r>
        <w:t>ПК З.3. Выполнять художественные образы на основе разработанной концепции.</w:t>
      </w:r>
    </w:p>
    <w:p w:rsidR="00000000" w:rsidRDefault="0095632D">
      <w:r>
        <w:t>ПК 3.4. Разрабатывать пред</w:t>
      </w:r>
      <w:r>
        <w:t>ложения по повышению качества обслуживания клиентов.</w:t>
      </w:r>
    </w:p>
    <w:p w:rsidR="00000000" w:rsidRDefault="0095632D">
      <w:bookmarkStart w:id="33" w:name="sub_1035"/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sub_20000" w:history="1">
        <w:r>
          <w:rPr>
            <w:rStyle w:val="a4"/>
          </w:rPr>
          <w:t>приложении N 2</w:t>
        </w:r>
      </w:hyperlink>
      <w:r>
        <w:t xml:space="preserve"> к настоящему ФГОС СПО.</w:t>
      </w:r>
    </w:p>
    <w:p w:rsidR="00000000" w:rsidRDefault="0095632D">
      <w:bookmarkStart w:id="34" w:name="sub_1036"/>
      <w:bookmarkEnd w:id="33"/>
      <w:r>
        <w:t>3.6. Образовательная организация самостоятельно планирует результаты обучения по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</w:t>
      </w:r>
      <w:r>
        <w:t>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bookmarkEnd w:id="34"/>
    <w:p w:rsidR="00000000" w:rsidRDefault="0095632D"/>
    <w:p w:rsidR="00000000" w:rsidRDefault="0095632D">
      <w:pPr>
        <w:pStyle w:val="1"/>
      </w:pPr>
      <w:bookmarkStart w:id="35" w:name="sub_1400"/>
      <w:r>
        <w:t>IV. Требования к условиям реализации образовательной программы</w:t>
      </w:r>
    </w:p>
    <w:bookmarkEnd w:id="35"/>
    <w:p w:rsidR="00000000" w:rsidRDefault="0095632D"/>
    <w:p w:rsidR="00000000" w:rsidRDefault="0095632D">
      <w:bookmarkStart w:id="36" w:name="sub_1041"/>
      <w:r>
        <w:t>4.1. Требования к условия</w:t>
      </w:r>
      <w:r>
        <w:t>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000000" w:rsidRDefault="0095632D">
      <w:bookmarkStart w:id="37" w:name="sub_1042"/>
      <w:bookmarkEnd w:id="36"/>
      <w:r>
        <w:t>4.2. Общесистемны</w:t>
      </w:r>
      <w:r>
        <w:t>е требования к условиям реализации образовательной программы.</w:t>
      </w:r>
    </w:p>
    <w:p w:rsidR="00000000" w:rsidRDefault="0095632D">
      <w:bookmarkStart w:id="38" w:name="sub_1421"/>
      <w:bookmarkEnd w:id="37"/>
      <w:r>
        <w:lastRenderedPageBreak/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</w:t>
      </w:r>
      <w:r>
        <w:t>ой деятельности обучающихся, предусмотренных учебным планом, с учетом ПООП.</w:t>
      </w:r>
    </w:p>
    <w:p w:rsidR="00000000" w:rsidRDefault="0095632D">
      <w:bookmarkStart w:id="39" w:name="sub_1422"/>
      <w:bookmarkEnd w:id="38"/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</w:t>
      </w:r>
      <w:r>
        <w:t>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000000" w:rsidRDefault="0095632D">
      <w:bookmarkStart w:id="40" w:name="sub_1423"/>
      <w:bookmarkEnd w:id="39"/>
      <w:r>
        <w:t>4.2.3. В случае реализации обр</w:t>
      </w:r>
      <w:r>
        <w:t>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</w:t>
      </w:r>
      <w:r>
        <w:t>ых организаций.</w:t>
      </w:r>
    </w:p>
    <w:p w:rsidR="00000000" w:rsidRDefault="0095632D">
      <w:bookmarkStart w:id="41" w:name="sub_1043"/>
      <w:bookmarkEnd w:id="40"/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000000" w:rsidRDefault="0095632D">
      <w:bookmarkStart w:id="42" w:name="sub_1431"/>
      <w:bookmarkEnd w:id="41"/>
      <w:r>
        <w:t>4.3.1. Специальные помещения должны представлять собой учебные аудитории для проведения заня</w:t>
      </w:r>
      <w:r>
        <w:t>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</w:t>
      </w:r>
      <w:r>
        <w:t xml:space="preserve"> техническими средствами обучения и материалами, учитывающими требования международных стандартов,</w:t>
      </w:r>
    </w:p>
    <w:p w:rsidR="00000000" w:rsidRDefault="0095632D">
      <w:bookmarkStart w:id="43" w:name="sub_1432"/>
      <w:bookmarkEnd w:id="42"/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</w:t>
      </w:r>
      <w:r>
        <w:t>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bookmarkEnd w:id="43"/>
    <w:p w:rsidR="00000000" w:rsidRDefault="0095632D">
      <w:r>
        <w:t>В случае применения электронного обучения, дистанционных образовательных технологий, допускает</w:t>
      </w:r>
      <w:r>
        <w:t>ся применение специально оборудованных помещений, их виртуальных аналогов, позволяющих обучающимся осваивать ОК и ПК.</w:t>
      </w:r>
    </w:p>
    <w:p w:rsidR="00000000" w:rsidRDefault="0095632D">
      <w:bookmarkStart w:id="44" w:name="sub_1433"/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95632D">
      <w:bookmarkStart w:id="45" w:name="sub_1434"/>
      <w:bookmarkEnd w:id="44"/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</w:t>
      </w:r>
      <w:r>
        <w:t>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bookmarkEnd w:id="45"/>
    <w:p w:rsidR="00000000" w:rsidRDefault="0095632D">
      <w:r>
        <w:t>В качестве основной литературы образовательная органи</w:t>
      </w:r>
      <w:r>
        <w:t>зация использует учебники, учебные пособия, предусмотренные ПООП.</w:t>
      </w:r>
    </w:p>
    <w:p w:rsidR="00000000" w:rsidRDefault="0095632D"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</w:t>
      </w:r>
      <w:r>
        <w:t>тронно-библиотечной системе (электронной библиотеке).</w:t>
      </w:r>
    </w:p>
    <w:p w:rsidR="00000000" w:rsidRDefault="0095632D">
      <w:bookmarkStart w:id="46" w:name="sub_1435"/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</w:t>
      </w:r>
      <w:r>
        <w:t>овья.</w:t>
      </w:r>
    </w:p>
    <w:p w:rsidR="00000000" w:rsidRDefault="0095632D">
      <w:bookmarkStart w:id="47" w:name="sub_1436"/>
      <w:bookmarkEnd w:id="46"/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000000" w:rsidRDefault="0095632D">
      <w:bookmarkStart w:id="48" w:name="sub_1437"/>
      <w:bookmarkEnd w:id="47"/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000000" w:rsidRDefault="0095632D">
      <w:bookmarkStart w:id="49" w:name="sub_1044"/>
      <w:bookmarkEnd w:id="48"/>
      <w:r>
        <w:t>4.4. Требования к кадровым условиям реализации образовательной программы.</w:t>
      </w:r>
    </w:p>
    <w:p w:rsidR="00000000" w:rsidRDefault="0095632D">
      <w:bookmarkStart w:id="50" w:name="sub_1441"/>
      <w:bookmarkEnd w:id="49"/>
      <w:r>
        <w:t>4.4.1</w:t>
      </w:r>
      <w:r>
        <w:t xml:space="preserve">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</w:t>
      </w:r>
      <w:r>
        <w:lastRenderedPageBreak/>
        <w:t>образовательной программы на условиях гражданско-правового договора, в том числе из числа руководителе</w:t>
      </w:r>
      <w:r>
        <w:t xml:space="preserve">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sub_1014" w:history="1">
        <w:r>
          <w:rPr>
            <w:rStyle w:val="a4"/>
          </w:rPr>
          <w:t>пункте 1.4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:rsidR="00000000" w:rsidRDefault="0095632D">
      <w:bookmarkStart w:id="51" w:name="sub_1442"/>
      <w:bookmarkEnd w:id="50"/>
      <w:r>
        <w:t xml:space="preserve"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</w:t>
      </w:r>
      <w:hyperlink r:id="rId23" w:history="1">
        <w:r>
          <w:rPr>
            <w:rStyle w:val="a4"/>
          </w:rPr>
          <w:t>профессио</w:t>
        </w:r>
        <w:r>
          <w:rPr>
            <w:rStyle w:val="a4"/>
          </w:rPr>
          <w:t>нальных стандартах</w:t>
        </w:r>
      </w:hyperlink>
      <w:r>
        <w:t xml:space="preserve"> (при наличии).</w:t>
      </w:r>
    </w:p>
    <w:bookmarkEnd w:id="51"/>
    <w:p w:rsidR="00000000" w:rsidRDefault="0095632D"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</w:t>
      </w:r>
      <w:r>
        <w:t xml:space="preserve">рганизациях, направление деятельности которых соответствует области профессиональной деятельности, указанной в </w:t>
      </w:r>
      <w:hyperlink w:anchor="sub_1014" w:history="1">
        <w:r>
          <w:rPr>
            <w:rStyle w:val="a4"/>
          </w:rPr>
          <w:t>пункте 1.4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000000" w:rsidRDefault="0095632D">
      <w:r>
        <w:t xml:space="preserve">Доля </w:t>
      </w:r>
      <w:r>
        <w:t>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</w:t>
      </w:r>
      <w:r>
        <w:t xml:space="preserve">ссиональной деятельности, указанной в </w:t>
      </w:r>
      <w:hyperlink w:anchor="sub_1014" w:history="1">
        <w:r>
          <w:rPr>
            <w:rStyle w:val="a4"/>
          </w:rPr>
          <w:t>пункте 1.4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000000" w:rsidRDefault="0095632D">
      <w:bookmarkStart w:id="52" w:name="sub_1045"/>
      <w:r>
        <w:t>4.5. Требования к финансовым условиям</w:t>
      </w:r>
      <w:r>
        <w:t xml:space="preserve"> реализации образовательной программы.</w:t>
      </w:r>
    </w:p>
    <w:p w:rsidR="00000000" w:rsidRDefault="0095632D">
      <w:bookmarkStart w:id="53" w:name="sub_1451"/>
      <w:bookmarkEnd w:id="52"/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</w:t>
      </w:r>
      <w:r>
        <w:t>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000000" w:rsidRDefault="0095632D">
      <w:bookmarkStart w:id="54" w:name="sub_1046"/>
      <w:bookmarkEnd w:id="53"/>
      <w:r>
        <w:t>4.6. Требования к применяемым механизмам оценки качества образовательной программы.</w:t>
      </w:r>
    </w:p>
    <w:p w:rsidR="00000000" w:rsidRDefault="0095632D">
      <w:bookmarkStart w:id="55" w:name="sub_1461"/>
      <w:bookmarkEnd w:id="54"/>
      <w:r>
        <w:t>4.</w:t>
      </w:r>
      <w:r>
        <w:t>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00000" w:rsidRDefault="0095632D">
      <w:bookmarkStart w:id="56" w:name="sub_1462"/>
      <w:bookmarkEnd w:id="55"/>
      <w:r>
        <w:t>4.6.2. В целях совершенствования образовательной программы образовательная организация при прове</w:t>
      </w:r>
      <w:r>
        <w:t>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000000" w:rsidRDefault="0095632D">
      <w:bookmarkStart w:id="57" w:name="sub_1463"/>
      <w:bookmarkEnd w:id="56"/>
      <w:r>
        <w:t>4.6.3. Внешняя оценка к</w:t>
      </w:r>
      <w:r>
        <w:t>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</w:t>
      </w:r>
      <w:r>
        <w:t xml:space="preserve">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</w:t>
      </w:r>
      <w:hyperlink r:id="rId24" w:history="1">
        <w:r>
          <w:rPr>
            <w:rStyle w:val="a4"/>
          </w:rPr>
          <w:t>профессиональны</w:t>
        </w:r>
        <w:r>
          <w:rPr>
            <w:rStyle w:val="a4"/>
          </w:rPr>
          <w:t>х стандартов</w:t>
        </w:r>
      </w:hyperlink>
      <w:r>
        <w:t>, требованиям рынка труда к специалистам соответствующего профиля.</w:t>
      </w:r>
    </w:p>
    <w:bookmarkEnd w:id="57"/>
    <w:p w:rsidR="00000000" w:rsidRDefault="0095632D"/>
    <w:p w:rsidR="00000000" w:rsidRDefault="0095632D">
      <w:pPr>
        <w:ind w:firstLine="0"/>
      </w:pPr>
      <w:r>
        <w:t>_____________________________</w:t>
      </w:r>
    </w:p>
    <w:p w:rsidR="00000000" w:rsidRDefault="0095632D">
      <w:bookmarkStart w:id="58" w:name="sub_111"/>
      <w:r>
        <w:t xml:space="preserve">* </w:t>
      </w:r>
      <w:hyperlink r:id="rId25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</w:t>
      </w:r>
      <w:r>
        <w:t>ации от 29 сентября 2014 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 г., регистрационный N 34779).</w:t>
      </w:r>
    </w:p>
    <w:p w:rsidR="00000000" w:rsidRDefault="0095632D">
      <w:bookmarkStart w:id="59" w:name="sub_222"/>
      <w:bookmarkEnd w:id="58"/>
      <w:r>
        <w:t xml:space="preserve">** См. </w:t>
      </w:r>
      <w:hyperlink r:id="rId26" w:history="1">
        <w:r>
          <w:rPr>
            <w:rStyle w:val="a4"/>
          </w:rPr>
          <w:t>статью 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</w:t>
      </w:r>
      <w:r>
        <w:t>ст. 2878; N 27, ст. 3462; N 30, ст. 4036; N 48, ст. 6165; 2014, N 6, ст. 562, ст. 566; N 19, ст. 2289; N 22, ст. 2769; N 23, ст. 2933; N 26, ст. 3388; N 30, ст. 4217, ст. 4257, ст. 4263; 2015, N 1, ст. 42, ст. 53, ст. 72; N 14, ст. 2008, N 18, ст. 2625; N </w:t>
      </w:r>
      <w:r>
        <w:t xml:space="preserve">27,ст. 3951, ст. 3989; N 29, ст. 4339, </w:t>
      </w:r>
      <w:r>
        <w:lastRenderedPageBreak/>
        <w:t>ст. 4364; N 51, ст. 7241; 2016, N 1, ст. 8, ст. 9, ст. 24, ст. 72, ст. 78; N 10, ст. 1320; N 23, ст. 3289, ст. 3290; N 27, ст. 4160, ст. 4219, ст. 4223, ст. 4238, ст. 4239, ст. 4245, ст. 4246, ст. 4292).</w:t>
      </w:r>
    </w:p>
    <w:bookmarkEnd w:id="59"/>
    <w:p w:rsidR="00000000" w:rsidRDefault="0095632D"/>
    <w:p w:rsidR="00000000" w:rsidRDefault="0095632D">
      <w:pPr>
        <w:ind w:firstLine="698"/>
        <w:jc w:val="right"/>
      </w:pPr>
      <w:bookmarkStart w:id="60" w:name="sub_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ФГОС</w:t>
        </w:r>
      </w:hyperlink>
      <w:r>
        <w:rPr>
          <w:rStyle w:val="a3"/>
        </w:rPr>
        <w:t xml:space="preserve"> СПО по специальности</w:t>
      </w:r>
      <w:r>
        <w:rPr>
          <w:rStyle w:val="a3"/>
        </w:rPr>
        <w:br/>
        <w:t>43.02.13 Технология парикмахерского искусства</w:t>
      </w:r>
    </w:p>
    <w:bookmarkEnd w:id="60"/>
    <w:p w:rsidR="00000000" w:rsidRDefault="0095632D"/>
    <w:p w:rsidR="00000000" w:rsidRDefault="0095632D">
      <w:pPr>
        <w:pStyle w:val="1"/>
      </w:pPr>
      <w:r>
        <w:t>Перечень</w:t>
      </w:r>
      <w:r>
        <w:br/>
        <w:t>профессий рабочих, должностей служащих, рекомендуемых к освоению в рамках образовательной программы среднего профессио</w:t>
      </w:r>
      <w:r>
        <w:t>нального образования по специальности 43.02,13 Технология парикмахерского искусства</w:t>
      </w:r>
    </w:p>
    <w:p w:rsidR="00000000" w:rsidRDefault="009563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8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32D">
            <w:pPr>
              <w:pStyle w:val="a8"/>
            </w:pPr>
            <w:r>
              <w:t xml:space="preserve">Код по </w:t>
            </w:r>
            <w:hyperlink r:id="rId27" w:history="1">
              <w:r>
                <w:rPr>
                  <w:rStyle w:val="a4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</w:t>
            </w:r>
            <w:r>
              <w:t xml:space="preserve">ие, утвержденному </w:t>
            </w:r>
            <w:hyperlink r:id="rId28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образования и науки Российской Федерации от 2 июля 2013 г. N 513 (зарегистрирован Министерством юстиции Российской Федерации 8 августа 2013 г., регистра</w:t>
            </w:r>
            <w:r>
              <w:t xml:space="preserve">ционный N 29322), с изменениями, внесенными приказами Министерства образования и науки Российской Федерации </w:t>
            </w:r>
            <w:hyperlink r:id="rId29" w:history="1">
              <w:r>
                <w:rPr>
                  <w:rStyle w:val="a4"/>
                </w:rPr>
                <w:t>от 16 декабря 2013 г. N 1348</w:t>
              </w:r>
            </w:hyperlink>
            <w:r>
              <w:t xml:space="preserve"> (зарегистрирован Министерством юстиции Российской Фе</w:t>
            </w:r>
            <w:r>
              <w:t xml:space="preserve">дерации 29 января 2014 г., регистрационный N 31163), </w:t>
            </w:r>
            <w:hyperlink r:id="rId30" w:history="1">
              <w:r>
                <w:rPr>
                  <w:rStyle w:val="a4"/>
                </w:rPr>
                <w:t>от 28 марта 2014 г. N 244</w:t>
              </w:r>
            </w:hyperlink>
            <w:r>
              <w:t xml:space="preserve"> (зарегистрирован Министерством юстиции Российской Федерации 15 апреля 2014 г., регистрационный N 31953) и </w:t>
            </w:r>
            <w:hyperlink r:id="rId31" w:history="1">
              <w:r>
                <w:rPr>
                  <w:rStyle w:val="a4"/>
                </w:rPr>
                <w:t>от 27 июня 2014 г. N 695</w:t>
              </w:r>
            </w:hyperlink>
            <w:r>
              <w:t xml:space="preserve"> (зарегистрирован Министерством юстиции Российской Федерации 22 июля 2014 г., регистрационный N 33205)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32D">
            <w:pPr>
              <w:pStyle w:val="a8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32D">
            <w:pPr>
              <w:pStyle w:val="a7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32D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32D">
            <w:pPr>
              <w:pStyle w:val="a7"/>
              <w:jc w:val="center"/>
            </w:pPr>
            <w:r>
              <w:t>16437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32D">
            <w:pPr>
              <w:pStyle w:val="a8"/>
            </w:pPr>
            <w:r>
              <w:t>Парикмахер</w:t>
            </w:r>
          </w:p>
        </w:tc>
      </w:tr>
    </w:tbl>
    <w:p w:rsidR="00000000" w:rsidRDefault="0095632D"/>
    <w:p w:rsidR="00000000" w:rsidRDefault="0095632D">
      <w:pPr>
        <w:ind w:firstLine="698"/>
        <w:jc w:val="right"/>
      </w:pPr>
      <w:bookmarkStart w:id="61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ФГОС</w:t>
        </w:r>
      </w:hyperlink>
      <w:r>
        <w:rPr>
          <w:rStyle w:val="a3"/>
        </w:rPr>
        <w:t xml:space="preserve"> СПО по специальности</w:t>
      </w:r>
      <w:r>
        <w:rPr>
          <w:rStyle w:val="a3"/>
        </w:rPr>
        <w:br/>
        <w:t>43.02.13 Технология парикмахерского искусства</w:t>
      </w:r>
    </w:p>
    <w:bookmarkEnd w:id="61"/>
    <w:p w:rsidR="00000000" w:rsidRDefault="0095632D"/>
    <w:p w:rsidR="00000000" w:rsidRDefault="0095632D">
      <w:pPr>
        <w:pStyle w:val="1"/>
      </w:pPr>
      <w:r>
        <w:t>Минимальные требования</w:t>
      </w:r>
      <w:r>
        <w:br/>
        <w:t xml:space="preserve">к результатам освоения основных видов деятельности образовательной программы среднего </w:t>
      </w:r>
      <w:r>
        <w:t>профессионального образования по специальности 43.02.13 Технология парикмахерского искусства</w:t>
      </w:r>
    </w:p>
    <w:p w:rsidR="00000000" w:rsidRDefault="009563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32D">
            <w:pPr>
              <w:pStyle w:val="a7"/>
              <w:jc w:val="center"/>
            </w:pPr>
            <w:r>
              <w:t>Основной вид деятельности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32D">
            <w:pPr>
              <w:pStyle w:val="a7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32D">
            <w:pPr>
              <w:pStyle w:val="a8"/>
            </w:pPr>
            <w:r>
              <w:t>Предоставление современных парикмахерских услуг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знать: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санитарно-эпидемиологические нормы и требования в сфере парикмахерских услуг;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требования охраны труда, организации и подготовки рабочего места для выполнения парикмахерских услуг;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психологию общения и профессиональную этику;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правила, современные формы и методы обслуживания потребителя;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виды парикмахерских работ;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устройство, правила эксплуатации и хранения применяемого оборудования, инструментов при выполнении парикмахерских услуг;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анатомические особенности, пропорции и пластика головы и лица;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структуру, состав и физические свойства волос;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типы, виды и формы волос;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состав и свойства профессиональных препаратов для мытья головы, для профилактического ухода за волосами, для уклад</w:t>
            </w:r>
            <w:r>
              <w:t>ки волос;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принципы воздействия технологических процессов на кожу головы и волосы;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способы и средства профилактического ухода за кожей головы и волос;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технологии мытья волос и приемы массажа головы;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направления моды и тенденции в парикмахерском искусстве;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технологии выполнения современных стрижек волос различной длины;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технологии выполнения современных укладок волос различными инструментами;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технологии выполнения окрашивания волос красителями ра</w:t>
            </w:r>
            <w:r>
              <w:t>зличных групп;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классификации красителей, цветовой круг и законы колориметрии;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технологии выполнения химической (перманентной) завивки;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различные виды окрашивания на основе актуальных технологий;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показатели качества продукции (услуги);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нормы расхода препаратов и материалов на выполнении стрижки, укладки, химической (перманентной) завивки;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правила оказания первой помощи.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уметь: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рационально организовывать рабочее место, соблюдать правила санитарии и гигиены, требования безопасности;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проводить дезинфекцию и стерилизацию инструментов и расходных материалов;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проводить санитарно-гигиеническую, бактерицидную обработку рабочего места;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организовывать подготовительные и заключительные работы по обслуживанию клиентов;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проводить диагностику состояния и чувствительности кожи головы и волос, выявлять потребности клиента;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подбирать форму стрижки в соответствии с особенностями внешности клиента;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выполнять современные стрижки и укладки волос с учетом индивидуальных особен</w:t>
            </w:r>
            <w:r>
              <w:t>ностей клиента, моделировать на различную длину волос;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выполнять окрашивание волос с использованием современных технологий;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выполнять химическую (перманентную) завивку с использованием современных технологий;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применять оборудование, приспособления, инструменты в соответствии с правилами эксплуатации и применяемыми технологиями;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обсудить с клиентом качество выполненной услуги;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проводить консультации по подбору профессиональных средств для домашнего использов</w:t>
            </w:r>
            <w:r>
              <w:t>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иметь практический опыт 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проведении подготовительных и заключительных работ по обслуживанию клиентов;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проведении контроля безопасности и подготовки рабочего мес</w:t>
            </w:r>
            <w:r>
              <w:t>та для выполнения парикмахерских услуг, соблюдение правил санитарии и гигиены, требований безопасности;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проведении визуального осмотра состояния поверхности кожи и волос клиента, определение типа и структуры волос;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определении и формировании по согласо</w:t>
            </w:r>
            <w:r>
              <w:t>ванию с клиентом комплекса парикмахерских услуг;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подборе профессиональных инструментов и материалов для выполнения парикмахерских услуг;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проведении диагностики состояния и чувствительности кожи головы и волос;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выполнении современных стрижек на волоса</w:t>
            </w:r>
            <w:r>
              <w:t>х разной длины;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выполнении укладок волос различными инструментами и способами;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выполнении окрашивания волос с использованием современных технологий и тенденций моды;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выполнении химической (перманентной) завивки волос с использованием современных технологий и тенденций моды;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выполнении всех видов парикмахерских услуг в соответствии с нормой времени;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обсуждении с клиентом качества выполненной услуги;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консультировании по подбору профессиональных средств для домашнего использования.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20" w:type="dxa"/>
          <w:trHeight w:val="276"/>
        </w:trPr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632D">
            <w:pPr>
              <w:pStyle w:val="a8"/>
            </w:pPr>
            <w:r>
              <w:t>Подбор и выполнение причесок различного назначения, с учетом потребностей клиента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знать: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устройство, правила эксплуатации и хранения применяемого оборудования, инструментов;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санитарно-эпидемиологические нормы и требования в сфере парикмахерских услуг;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требования охраны труда, организации и подготовки рабочего места для выполнения парикмахерских услуг;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психологию общения и профессиональную этику;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правила, современные формы и методы обслуживания потребителя;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виды парикмахерских работ;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состав и свойства профессиональных препаратов и используемых материалов;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анатомические особенности, пропорции и пластика головы;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 xml:space="preserve">структуру, состав и физические свойства натуральных и </w:t>
            </w:r>
            <w:r>
              <w:lastRenderedPageBreak/>
              <w:t>искусственных волос;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типы, виды и формы волос;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направление моды в</w:t>
            </w:r>
            <w:r>
              <w:t xml:space="preserve"> парикмахерском искусстве;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законы композиции;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законы колористики;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основы моделирования и композиции причесок;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приемы художественного моделирования причесок;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технологии выполнения классических причесок;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технологии выполнения причесок с накладками и шиньонами;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технологии моделирования и изготовления постижерных изделий из натуральных и искусственных волос;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технологий выполнения сложных причесок на волосах различной длины с применением украшений и пости</w:t>
            </w:r>
            <w:r>
              <w:t>жерных изделий;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технологии наращивания волос, техники коррекции и снятия наращенных волос;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нормы времени на выполнении прически.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уметь: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рационально организовывать рабочее место, соблюдать правила санитарии и гигиены, соблюдать требования к технике безопасности;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проводить визуальный осмотр и диагностику состояния кожи головы и волос клиента, определить тип и структуру волос;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выявлять по</w:t>
            </w:r>
            <w:r>
              <w:t>требности клиентов;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применять стайлинговые средства для волос;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разработать эскизы прически и сформировать образ с учетом индивидуальных особенностей клиента;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выполнять классические прически;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выполнять прически с накладками и шиньонами;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</w:tcBorders>
          </w:tcPr>
          <w:p w:rsidR="00000000" w:rsidRDefault="0095632D">
            <w:pPr>
              <w:pStyle w:val="a8"/>
            </w:pPr>
            <w:r>
              <w:t>осуществлять моделирование и изготовление постижерных изделий из натуральных и искусственных волос;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</w:tcBorders>
          </w:tcPr>
          <w:p w:rsidR="00000000" w:rsidRDefault="0095632D">
            <w:pPr>
              <w:pStyle w:val="a8"/>
            </w:pPr>
            <w:r>
              <w:t>выполнять сложные прически на волосах различной длины с применением украшений и постижерных изделий;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</w:tcBorders>
          </w:tcPr>
          <w:p w:rsidR="00000000" w:rsidRDefault="0095632D">
            <w:pPr>
              <w:pStyle w:val="a8"/>
            </w:pPr>
            <w:r>
              <w:t>выполнять наращивание волос, коррекция и снятие наращенных волос;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</w:tcBorders>
          </w:tcPr>
          <w:p w:rsidR="00000000" w:rsidRDefault="0095632D">
            <w:pPr>
              <w:pStyle w:val="a8"/>
            </w:pPr>
            <w:r>
              <w:t>обсудить с клиентом качество выполненной услуги;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</w:tcBorders>
          </w:tcPr>
          <w:p w:rsidR="00000000" w:rsidRDefault="0095632D">
            <w:pPr>
              <w:pStyle w:val="a8"/>
            </w:pPr>
            <w:r>
              <w:t>провести консультации по подбору профессиональных средств для домашнего использования.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</w:tcBorders>
          </w:tcPr>
          <w:p w:rsidR="00000000" w:rsidRDefault="0095632D">
            <w:pPr>
              <w:pStyle w:val="a8"/>
            </w:pPr>
            <w:r>
              <w:t>иметь практический опыт 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</w:tcBorders>
          </w:tcPr>
          <w:p w:rsidR="00000000" w:rsidRDefault="0095632D">
            <w:pPr>
              <w:pStyle w:val="a8"/>
            </w:pPr>
            <w:r>
              <w:t>организации рабочег</w:t>
            </w:r>
            <w:r>
              <w:t>о места, соблюдение правил санитарии и гигиены, требований безопасности;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проведении подготовительных и заключительных работ по обслуживанию клиентов;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визуальном осмотре, диагностике поверхности кожи и волос клиента, определение типа и структуры волос;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разработки эскизов прически и формирование образа с учетом индивидуальных особенностей клиента;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выполнении классических причесок;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выполнении причесок с накладками и шиньонами;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nil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</w:tcBorders>
          </w:tcPr>
          <w:p w:rsidR="00000000" w:rsidRDefault="0095632D">
            <w:pPr>
              <w:pStyle w:val="a8"/>
            </w:pPr>
            <w:r>
              <w:t xml:space="preserve">моделирование и изготовление постижерных изделий из </w:t>
            </w:r>
            <w:r>
              <w:lastRenderedPageBreak/>
              <w:t>натуральных и искусс</w:t>
            </w:r>
            <w:r>
              <w:t>твенных волос;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nil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</w:tcBorders>
          </w:tcPr>
          <w:p w:rsidR="00000000" w:rsidRDefault="0095632D">
            <w:pPr>
              <w:pStyle w:val="a8"/>
            </w:pPr>
            <w:r>
              <w:t>выполнении сложных причесок на волосах различной длины с применением украшений и постижерных изделий;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nil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</w:tcBorders>
          </w:tcPr>
          <w:p w:rsidR="00000000" w:rsidRDefault="0095632D">
            <w:pPr>
              <w:pStyle w:val="a8"/>
            </w:pPr>
            <w:r>
              <w:t>наращивании волос, коррекция и снятие наращенных волос;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nil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</w:tcBorders>
          </w:tcPr>
          <w:p w:rsidR="00000000" w:rsidRDefault="0095632D">
            <w:pPr>
              <w:pStyle w:val="a8"/>
            </w:pPr>
            <w:r>
              <w:t>обсуждении с клиентом качества выполненной услуги;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95632D">
            <w:pPr>
              <w:pStyle w:val="a8"/>
            </w:pPr>
            <w:r>
              <w:t>консультировании по подбору профессиональных средств для домашнего использования.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32D">
            <w:pPr>
              <w:pStyle w:val="a8"/>
            </w:pPr>
            <w:r>
              <w:t>Создание имиджа, разработка и выполнение художественного образа на основании заказа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знать: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тенденции моды в стилистике и технологиях парикмахерских услуг, в художественной творческой деятельности;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принципы индивидуальной особенности и потребности потребителя, имиджа клиента;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значение художественного образа в развитии парикмахерского искусства;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особенности создания коллекции, подиумных и конкурсных работ;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основные показатели и методику расчета стоимости услуг;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уметь: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 xml:space="preserve">создавать имидж клиента на основе </w:t>
            </w:r>
            <w:r>
              <w:t>анализа индивидуальных особенностей и потребностей;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разрабатывать и выполнять конкурсные и подиумные работы в сфере парикмахерского искусства;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составлять экспозицию работ, оформлять профессиональный портфолио;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рассчитывать стоимость услуг в соответст</w:t>
            </w:r>
            <w:r>
              <w:t>вии с объемом работ.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иметь практический опыт 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создании имиджа клиента на основе анализа индивидуальных особенностей и потребностей;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выполнении конкурсных и подиумных работ в сфере парикмахерского искусства;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95632D">
            <w:pPr>
              <w:pStyle w:val="a8"/>
            </w:pPr>
            <w:r>
              <w:t>составлении экспозиции работ, оформление профессионального портфолио;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632D">
            <w:pPr>
              <w:pStyle w:val="a7"/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5632D">
            <w:pPr>
              <w:pStyle w:val="a8"/>
            </w:pPr>
            <w:r>
              <w:t>расчете стоимости услуг в соответствии с объемом работ.</w:t>
            </w:r>
          </w:p>
        </w:tc>
      </w:tr>
    </w:tbl>
    <w:p w:rsidR="0095632D" w:rsidRDefault="0095632D"/>
    <w:sectPr w:rsidR="0095632D">
      <w:headerReference w:type="default" r:id="rId32"/>
      <w:footerReference w:type="default" r:id="rId3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2D" w:rsidRDefault="0095632D">
      <w:r>
        <w:separator/>
      </w:r>
    </w:p>
  </w:endnote>
  <w:endnote w:type="continuationSeparator" w:id="1">
    <w:p w:rsidR="0095632D" w:rsidRDefault="0095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5632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D4641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46418">
            <w:rPr>
              <w:rFonts w:ascii="Times New Roman" w:hAnsi="Times New Roman" w:cs="Times New Roman"/>
              <w:noProof/>
              <w:sz w:val="20"/>
              <w:szCs w:val="20"/>
            </w:rPr>
            <w:t>10.12.2019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5632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5632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4641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46418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46418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2D" w:rsidRDefault="0095632D">
      <w:r>
        <w:separator/>
      </w:r>
    </w:p>
  </w:footnote>
  <w:footnote w:type="continuationSeparator" w:id="1">
    <w:p w:rsidR="0095632D" w:rsidRDefault="0095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632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9 декабря 2016 г. N 1558 "Об утверждении федерального…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418"/>
    <w:rsid w:val="0095632D"/>
    <w:rsid w:val="00D4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464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392898/15241" TargetMode="External"/><Relationship Id="rId13" Type="http://schemas.openxmlformats.org/officeDocument/2006/relationships/hyperlink" Target="http://ivo.garant.ru/document/redirect/70883150/0" TargetMode="External"/><Relationship Id="rId18" Type="http://schemas.openxmlformats.org/officeDocument/2006/relationships/hyperlink" Target="http://ivo.garant.ru/document/redirect/70558310/2000" TargetMode="External"/><Relationship Id="rId26" Type="http://schemas.openxmlformats.org/officeDocument/2006/relationships/hyperlink" Target="http://ivo.garant.ru/document/redirect/70291362/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1270162/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vo.garant.ru/document/redirect/71571438/0" TargetMode="External"/><Relationship Id="rId12" Type="http://schemas.openxmlformats.org/officeDocument/2006/relationships/hyperlink" Target="http://ivo.garant.ru/document/redirect/70883150/10" TargetMode="External"/><Relationship Id="rId17" Type="http://schemas.openxmlformats.org/officeDocument/2006/relationships/hyperlink" Target="http://ivo.garant.ru/document/redirect/70188902/108" TargetMode="External"/><Relationship Id="rId25" Type="http://schemas.openxmlformats.org/officeDocument/2006/relationships/hyperlink" Target="http://ivo.garant.ru/document/redirect/70807194/0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807194/11033" TargetMode="External"/><Relationship Id="rId20" Type="http://schemas.openxmlformats.org/officeDocument/2006/relationships/hyperlink" Target="http://ivo.garant.ru/document/redirect/70666904/0" TargetMode="External"/><Relationship Id="rId29" Type="http://schemas.openxmlformats.org/officeDocument/2006/relationships/hyperlink" Target="http://ivo.garant.ru/document/redirect/70581092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429496/0" TargetMode="External"/><Relationship Id="rId24" Type="http://schemas.openxmlformats.org/officeDocument/2006/relationships/hyperlink" Target="http://ivo.garant.ru/document/redirect/57746200/0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558310/430213" TargetMode="External"/><Relationship Id="rId23" Type="http://schemas.openxmlformats.org/officeDocument/2006/relationships/hyperlink" Target="http://ivo.garant.ru/document/redirect/57746200/0" TargetMode="External"/><Relationship Id="rId28" Type="http://schemas.openxmlformats.org/officeDocument/2006/relationships/hyperlink" Target="http://ivo.garant.ru/document/redirect/70433916/0" TargetMode="External"/><Relationship Id="rId10" Type="http://schemas.openxmlformats.org/officeDocument/2006/relationships/hyperlink" Target="http://ivo.garant.ru/document/redirect/70429496/1017" TargetMode="External"/><Relationship Id="rId19" Type="http://schemas.openxmlformats.org/officeDocument/2006/relationships/hyperlink" Target="http://ivo.garant.ru/document/redirect/70558310/0" TargetMode="External"/><Relationship Id="rId31" Type="http://schemas.openxmlformats.org/officeDocument/2006/relationships/hyperlink" Target="http://ivo.garant.ru/document/redirect/7070553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92898/0" TargetMode="External"/><Relationship Id="rId14" Type="http://schemas.openxmlformats.org/officeDocument/2006/relationships/hyperlink" Target="http://ivo.garant.ru/document/redirect/5632903/0" TargetMode="External"/><Relationship Id="rId22" Type="http://schemas.openxmlformats.org/officeDocument/2006/relationships/hyperlink" Target="http://ivo.garant.ru/document/redirect/71562372/1001" TargetMode="External"/><Relationship Id="rId27" Type="http://schemas.openxmlformats.org/officeDocument/2006/relationships/hyperlink" Target="http://ivo.garant.ru/document/redirect/70433916/1000" TargetMode="External"/><Relationship Id="rId30" Type="http://schemas.openxmlformats.org/officeDocument/2006/relationships/hyperlink" Target="http://ivo.garant.ru/document/redirect/70639474/10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5645</Words>
  <Characters>32180</Characters>
  <Application>Microsoft Office Word</Application>
  <DocSecurity>0</DocSecurity>
  <Lines>268</Lines>
  <Paragraphs>75</Paragraphs>
  <ScaleCrop>false</ScaleCrop>
  <Company>НПП "Гарант-Сервис"</Company>
  <LinksUpToDate>false</LinksUpToDate>
  <CharactersWithSpaces>37750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2019-12-10T11:07:00Z</dcterms:created>
  <dcterms:modified xsi:type="dcterms:W3CDTF">2019-12-10T11:07:00Z</dcterms:modified>
</cp:coreProperties>
</file>