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93E3" w14:textId="6DC266BD" w:rsidR="0053551E" w:rsidRPr="00772667" w:rsidRDefault="0053551E" w:rsidP="0053551E">
      <w:p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Структура работы</w:t>
      </w:r>
      <w:r w:rsidR="00D0288A">
        <w:rPr>
          <w:rFonts w:cs="Times New Roman"/>
          <w:color w:val="333333"/>
          <w:szCs w:val="28"/>
          <w:shd w:val="clear" w:color="auto" w:fill="FFFFFF"/>
        </w:rPr>
        <w:t>:</w:t>
      </w:r>
    </w:p>
    <w:p w14:paraId="23E0A433" w14:textId="157F5DF0" w:rsidR="00E35892" w:rsidRDefault="00E35892" w:rsidP="000F0F69">
      <w:pPr>
        <w:pStyle w:val="a5"/>
        <w:numPr>
          <w:ilvl w:val="0"/>
          <w:numId w:val="3"/>
        </w:numPr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Что такое структура издержек </w:t>
      </w:r>
    </w:p>
    <w:p w14:paraId="57F017BD" w14:textId="059E4599" w:rsidR="000F0F69" w:rsidRPr="00772667" w:rsidRDefault="000F0F69" w:rsidP="000F0F69">
      <w:pPr>
        <w:pStyle w:val="a5"/>
        <w:numPr>
          <w:ilvl w:val="0"/>
          <w:numId w:val="3"/>
        </w:numPr>
        <w:rPr>
          <w:rFonts w:cs="Times New Roman"/>
          <w:color w:val="333333"/>
          <w:szCs w:val="28"/>
          <w:shd w:val="clear" w:color="auto" w:fill="FFFFFF"/>
        </w:rPr>
      </w:pPr>
      <w:r w:rsidRPr="00772667">
        <w:rPr>
          <w:rFonts w:cs="Times New Roman"/>
          <w:color w:val="333333"/>
          <w:szCs w:val="28"/>
          <w:shd w:val="clear" w:color="auto" w:fill="FFFFFF"/>
        </w:rPr>
        <w:t xml:space="preserve">Система </w:t>
      </w:r>
      <w:r w:rsidR="00852C6D" w:rsidRPr="00772667">
        <w:rPr>
          <w:rFonts w:cs="Times New Roman"/>
          <w:color w:val="333333"/>
          <w:szCs w:val="28"/>
          <w:shd w:val="clear" w:color="auto" w:fill="FFFFFF"/>
        </w:rPr>
        <w:t>налогообложения</w:t>
      </w:r>
    </w:p>
    <w:p w14:paraId="3D904AFA" w14:textId="253005AB" w:rsidR="000F0F69" w:rsidRPr="00772667" w:rsidRDefault="00852C6D" w:rsidP="000F0F69">
      <w:pPr>
        <w:pStyle w:val="a5"/>
        <w:numPr>
          <w:ilvl w:val="0"/>
          <w:numId w:val="3"/>
        </w:numPr>
        <w:rPr>
          <w:rFonts w:cs="Times New Roman"/>
          <w:color w:val="333333"/>
          <w:szCs w:val="28"/>
          <w:shd w:val="clear" w:color="auto" w:fill="FFFFFF"/>
        </w:rPr>
      </w:pPr>
      <w:r w:rsidRPr="00772667">
        <w:rPr>
          <w:rFonts w:cs="Times New Roman"/>
          <w:color w:val="333333"/>
          <w:szCs w:val="28"/>
          <w:shd w:val="clear" w:color="auto" w:fill="FFFFFF"/>
        </w:rPr>
        <w:t>Ежемесячный фонд оплаты труда</w:t>
      </w:r>
    </w:p>
    <w:p w14:paraId="3E563335" w14:textId="5D0EF23B" w:rsidR="00852C6D" w:rsidRPr="00772667" w:rsidRDefault="00852C6D" w:rsidP="000F0F69">
      <w:pPr>
        <w:pStyle w:val="a5"/>
        <w:numPr>
          <w:ilvl w:val="0"/>
          <w:numId w:val="3"/>
        </w:numPr>
        <w:rPr>
          <w:rFonts w:cs="Times New Roman"/>
          <w:color w:val="333333"/>
          <w:szCs w:val="28"/>
          <w:shd w:val="clear" w:color="auto" w:fill="FFFFFF"/>
        </w:rPr>
      </w:pPr>
      <w:r w:rsidRPr="00772667">
        <w:rPr>
          <w:rFonts w:cs="Times New Roman"/>
          <w:color w:val="333333"/>
          <w:szCs w:val="28"/>
          <w:shd w:val="clear" w:color="auto" w:fill="FFFFFF"/>
        </w:rPr>
        <w:t xml:space="preserve">Определить количество </w:t>
      </w:r>
      <w:proofErr w:type="spellStart"/>
      <w:r w:rsidRPr="00772667">
        <w:rPr>
          <w:rFonts w:cs="Times New Roman"/>
          <w:color w:val="333333"/>
          <w:szCs w:val="28"/>
          <w:shd w:val="clear" w:color="auto" w:fill="FFFFFF"/>
        </w:rPr>
        <w:t>трудочасов</w:t>
      </w:r>
      <w:proofErr w:type="spellEnd"/>
      <w:r w:rsidRPr="00772667">
        <w:rPr>
          <w:rFonts w:cs="Times New Roman"/>
          <w:color w:val="333333"/>
          <w:szCs w:val="28"/>
          <w:shd w:val="clear" w:color="auto" w:fill="FFFFFF"/>
        </w:rPr>
        <w:t xml:space="preserve"> в неделю</w:t>
      </w:r>
    </w:p>
    <w:p w14:paraId="216FA77D" w14:textId="575E0A15" w:rsidR="00852C6D" w:rsidRDefault="00852C6D" w:rsidP="000F0F69">
      <w:pPr>
        <w:pStyle w:val="a5"/>
        <w:numPr>
          <w:ilvl w:val="0"/>
          <w:numId w:val="3"/>
        </w:numPr>
        <w:rPr>
          <w:rFonts w:cs="Times New Roman"/>
          <w:color w:val="333333"/>
          <w:szCs w:val="28"/>
          <w:shd w:val="clear" w:color="auto" w:fill="FFFFFF"/>
        </w:rPr>
      </w:pPr>
      <w:r w:rsidRPr="00772667">
        <w:rPr>
          <w:rFonts w:cs="Times New Roman"/>
          <w:color w:val="333333"/>
          <w:szCs w:val="28"/>
          <w:shd w:val="clear" w:color="auto" w:fill="FFFFFF"/>
        </w:rPr>
        <w:t xml:space="preserve">Взносы в фонды и </w:t>
      </w:r>
      <w:r w:rsidR="00300D50" w:rsidRPr="00772667">
        <w:rPr>
          <w:rFonts w:cs="Times New Roman"/>
          <w:color w:val="333333"/>
          <w:szCs w:val="28"/>
          <w:shd w:val="clear" w:color="auto" w:fill="FFFFFF"/>
        </w:rPr>
        <w:t>итоговый фонд оплаты труда</w:t>
      </w:r>
    </w:p>
    <w:p w14:paraId="4DB5A49D" w14:textId="77777777" w:rsidR="0053551E" w:rsidRPr="0053551E" w:rsidRDefault="0053551E" w:rsidP="0053551E">
      <w:pPr>
        <w:rPr>
          <w:rFonts w:cs="Times New Roman"/>
          <w:color w:val="333333"/>
          <w:szCs w:val="28"/>
          <w:shd w:val="clear" w:color="auto" w:fill="FFFFFF"/>
        </w:rPr>
      </w:pPr>
    </w:p>
    <w:p w14:paraId="0CF49F3D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1480E743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728765B4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1B29B3F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32BB21DD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660D1EC1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63866254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36B4CA1D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0709D56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7ED589F8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6186267D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050CEE9" w14:textId="47F1C892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1A858B1" w14:textId="525F34FF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9810B68" w14:textId="569F566B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C6FDB53" w14:textId="77777777" w:rsidR="0053551E" w:rsidRDefault="0053551E" w:rsidP="0053551E">
      <w:pPr>
        <w:rPr>
          <w:rFonts w:cs="Times New Roman"/>
          <w:color w:val="333333"/>
          <w:szCs w:val="28"/>
          <w:shd w:val="clear" w:color="auto" w:fill="FFFFFF"/>
        </w:rPr>
      </w:pPr>
      <w:r w:rsidRPr="00772667">
        <w:rPr>
          <w:rFonts w:cs="Times New Roman"/>
          <w:color w:val="333333"/>
          <w:szCs w:val="28"/>
          <w:shd w:val="clear" w:color="auto" w:fill="FFFFFF"/>
        </w:rPr>
        <w:t>Структура издержек — это описание наиболее существенны</w:t>
      </w:r>
      <w:r>
        <w:rPr>
          <w:rFonts w:cs="Times New Roman"/>
          <w:color w:val="333333"/>
          <w:szCs w:val="28"/>
          <w:shd w:val="clear" w:color="auto" w:fill="FFFFFF"/>
        </w:rPr>
        <w:t>х</w:t>
      </w:r>
      <w:r w:rsidRPr="00772667">
        <w:rPr>
          <w:rFonts w:cs="Times New Roman"/>
          <w:color w:val="333333"/>
          <w:szCs w:val="28"/>
          <w:shd w:val="clear" w:color="auto" w:fill="FFFFFF"/>
        </w:rPr>
        <w:t xml:space="preserve"> расход</w:t>
      </w:r>
      <w:r>
        <w:rPr>
          <w:rFonts w:cs="Times New Roman"/>
          <w:color w:val="333333"/>
          <w:szCs w:val="28"/>
          <w:shd w:val="clear" w:color="auto" w:fill="FFFFFF"/>
        </w:rPr>
        <w:t>ов</w:t>
      </w:r>
      <w:r w:rsidRPr="00772667">
        <w:rPr>
          <w:rFonts w:cs="Times New Roman"/>
          <w:color w:val="333333"/>
          <w:szCs w:val="28"/>
          <w:shd w:val="clear" w:color="auto" w:fill="FFFFFF"/>
        </w:rPr>
        <w:t>, необходимые для работы в рамках конкретной бизнес-модели.</w:t>
      </w:r>
    </w:p>
    <w:p w14:paraId="5E5F35C2" w14:textId="77777777" w:rsidR="00E35892" w:rsidRDefault="00E35892" w:rsidP="00D0288A">
      <w:pPr>
        <w:ind w:firstLine="0"/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</w:pPr>
    </w:p>
    <w:p w14:paraId="76ABB023" w14:textId="7BA75B1C" w:rsidR="00D0288A" w:rsidRPr="00E35892" w:rsidRDefault="00D0288A" w:rsidP="00D0288A">
      <w:pPr>
        <w:ind w:firstLine="0"/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</w:pPr>
      <w:r w:rsidRPr="00E35892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>Система налогообложения</w:t>
      </w:r>
    </w:p>
    <w:p w14:paraId="0D7A6B37" w14:textId="77777777" w:rsidR="0053551E" w:rsidRDefault="0053551E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1783D1FF" w14:textId="727F7FA5" w:rsidR="00442E76" w:rsidRPr="00442E76" w:rsidRDefault="00442E76" w:rsidP="00442E76">
      <w:pPr>
        <w:shd w:val="clear" w:color="auto" w:fill="FFFFFF"/>
        <w:spacing w:after="450" w:line="39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42E76">
        <w:rPr>
          <w:rFonts w:eastAsia="Times New Roman" w:cs="Times New Roman"/>
          <w:color w:val="333333"/>
          <w:szCs w:val="28"/>
          <w:lang w:eastAsia="ru-RU"/>
        </w:rPr>
        <w:t>На сегодняшний день в России можно работать в рамках следующих налоговых режимов (систем налогообложения):</w:t>
      </w:r>
    </w:p>
    <w:p w14:paraId="371BEF77" w14:textId="77777777" w:rsidR="00442E76" w:rsidRP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5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ОСНО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– общая система налогообложения;</w:t>
      </w:r>
    </w:p>
    <w:p w14:paraId="45BE7B2D" w14:textId="77777777" w:rsidR="00442E76" w:rsidRP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42E76">
        <w:rPr>
          <w:rFonts w:eastAsia="Times New Roman" w:cs="Times New Roman"/>
          <w:color w:val="333333"/>
          <w:szCs w:val="28"/>
          <w:lang w:eastAsia="ru-RU"/>
        </w:rPr>
        <w:t>УСН – упрощённая система налогообложения в двух разных вариантах: </w:t>
      </w:r>
      <w:hyperlink r:id="rId6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УСН Доходы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и </w:t>
      </w:r>
      <w:hyperlink r:id="rId7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УСН Доходы минус расходы;</w:t>
        </w:r>
      </w:hyperlink>
    </w:p>
    <w:p w14:paraId="37884A1C" w14:textId="77777777" w:rsidR="00442E76" w:rsidRP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8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ЕСХН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– единый сельскохозяйственный налог;</w:t>
      </w:r>
    </w:p>
    <w:p w14:paraId="028FE912" w14:textId="77777777" w:rsidR="00442E76" w:rsidRP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9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Патентная система налогообложения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(только для </w:t>
      </w:r>
      <w:hyperlink r:id="rId10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налогообложения ИП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);</w:t>
      </w:r>
    </w:p>
    <w:p w14:paraId="65ED034C" w14:textId="77777777" w:rsidR="00442E76" w:rsidRP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1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НПД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- налог на профессиональный доход (доступен ИП и физическим лицам без регистрации ИП);</w:t>
      </w:r>
    </w:p>
    <w:p w14:paraId="50A45772" w14:textId="297A8FBB" w:rsidR="00442E76" w:rsidRDefault="00442E76" w:rsidP="00442E76">
      <w:pPr>
        <w:numPr>
          <w:ilvl w:val="0"/>
          <w:numId w:val="1"/>
        </w:num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2" w:tgtFrame="_blank" w:history="1">
        <w:r w:rsidRPr="00442E76">
          <w:rPr>
            <w:rFonts w:eastAsia="Times New Roman" w:cs="Times New Roman"/>
            <w:color w:val="116FFF"/>
            <w:szCs w:val="28"/>
            <w:u w:val="single"/>
            <w:lang w:eastAsia="ru-RU"/>
          </w:rPr>
          <w:t>АУСН</w:t>
        </w:r>
      </w:hyperlink>
      <w:r w:rsidRPr="00442E76">
        <w:rPr>
          <w:rFonts w:eastAsia="Times New Roman" w:cs="Times New Roman"/>
          <w:color w:val="333333"/>
          <w:szCs w:val="28"/>
          <w:lang w:eastAsia="ru-RU"/>
        </w:rPr>
        <w:t> - новый вариант упрощённой системы без уплаты страховых взносов (начало действия запланировано на 1 июля 2022).</w:t>
      </w:r>
    </w:p>
    <w:p w14:paraId="5DE8D372" w14:textId="4804A670" w:rsidR="001A7559" w:rsidRDefault="001A7559" w:rsidP="001A7559">
      <w:p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2F44DB4B" w14:textId="77777777" w:rsidR="001A7559" w:rsidRPr="001A7559" w:rsidRDefault="001A7559" w:rsidP="001A7559">
      <w:pPr>
        <w:ind w:firstLine="0"/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</w:pPr>
      <w:r w:rsidRPr="001A7559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>Ежемесячный фонд оплаты труда</w:t>
      </w:r>
    </w:p>
    <w:p w14:paraId="7571F159" w14:textId="77777777" w:rsidR="001A7559" w:rsidRPr="00442E76" w:rsidRDefault="001A7559" w:rsidP="001A7559">
      <w:pPr>
        <w:shd w:val="clear" w:color="auto" w:fill="FFFFFF"/>
        <w:spacing w:after="90" w:line="39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14:paraId="36BDD7A1" w14:textId="05363CC8" w:rsidR="00585F76" w:rsidRPr="00772667" w:rsidRDefault="00585F76">
      <w:pPr>
        <w:rPr>
          <w:rFonts w:cs="Times New Roman"/>
          <w:szCs w:val="28"/>
        </w:rPr>
      </w:pPr>
    </w:p>
    <w:p w14:paraId="4EA98F4F" w14:textId="77777777" w:rsidR="00442E76" w:rsidRPr="00442E76" w:rsidRDefault="00442E76" w:rsidP="00442E76">
      <w:pPr>
        <w:shd w:val="clear" w:color="auto" w:fill="F8F9FA"/>
        <w:spacing w:before="100" w:beforeAutospacing="1" w:after="100" w:afterAutospacing="1" w:line="390" w:lineRule="atLeast"/>
        <w:ind w:firstLine="0"/>
        <w:jc w:val="left"/>
        <w:rPr>
          <w:rFonts w:eastAsia="Times New Roman" w:cs="Times New Roman"/>
          <w:color w:val="343A40"/>
          <w:szCs w:val="28"/>
          <w:lang w:eastAsia="ru-RU"/>
        </w:rPr>
      </w:pPr>
      <w:r w:rsidRPr="00442E76">
        <w:rPr>
          <w:rFonts w:eastAsia="Times New Roman" w:cs="Times New Roman"/>
          <w:color w:val="343A40"/>
          <w:szCs w:val="28"/>
          <w:lang w:eastAsia="ru-RU"/>
        </w:rPr>
        <w:t>Инструкция по расчету фонда оплаты труда за месяц:</w:t>
      </w:r>
    </w:p>
    <w:p w14:paraId="59EB9DB1" w14:textId="77777777" w:rsidR="00442E76" w:rsidRPr="00442E76" w:rsidRDefault="00442E76" w:rsidP="00442E7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90" w:lineRule="atLeast"/>
        <w:jc w:val="left"/>
        <w:rPr>
          <w:rFonts w:eastAsia="Times New Roman" w:cs="Times New Roman"/>
          <w:color w:val="343A40"/>
          <w:szCs w:val="28"/>
          <w:lang w:eastAsia="ru-RU"/>
        </w:rPr>
      </w:pPr>
      <w:r w:rsidRPr="00442E76">
        <w:rPr>
          <w:rFonts w:eastAsia="Times New Roman" w:cs="Times New Roman"/>
          <w:color w:val="343A40"/>
          <w:szCs w:val="28"/>
          <w:lang w:eastAsia="ru-RU"/>
        </w:rPr>
        <w:t>Просуммировать среднемесячное значение начислений персоналу.</w:t>
      </w:r>
    </w:p>
    <w:p w14:paraId="3F0D80E4" w14:textId="77777777" w:rsidR="00442E76" w:rsidRPr="00442E76" w:rsidRDefault="00442E76" w:rsidP="00442E76">
      <w:pPr>
        <w:numPr>
          <w:ilvl w:val="0"/>
          <w:numId w:val="2"/>
        </w:numPr>
        <w:shd w:val="clear" w:color="auto" w:fill="F8F9FA"/>
        <w:spacing w:before="120" w:after="100" w:afterAutospacing="1" w:line="390" w:lineRule="atLeast"/>
        <w:jc w:val="left"/>
        <w:rPr>
          <w:rFonts w:eastAsia="Times New Roman" w:cs="Times New Roman"/>
          <w:color w:val="343A40"/>
          <w:szCs w:val="28"/>
          <w:lang w:eastAsia="ru-RU"/>
        </w:rPr>
      </w:pPr>
      <w:r w:rsidRPr="00442E76">
        <w:rPr>
          <w:rFonts w:eastAsia="Times New Roman" w:cs="Times New Roman"/>
          <w:color w:val="343A40"/>
          <w:szCs w:val="28"/>
          <w:lang w:eastAsia="ru-RU"/>
        </w:rPr>
        <w:t>Умножить усредненный показатель на число сотрудников.</w:t>
      </w:r>
    </w:p>
    <w:p w14:paraId="041692C2" w14:textId="00FF3DB2" w:rsidR="00442E76" w:rsidRDefault="00442E76" w:rsidP="00442E76">
      <w:pPr>
        <w:numPr>
          <w:ilvl w:val="0"/>
          <w:numId w:val="2"/>
        </w:numPr>
        <w:shd w:val="clear" w:color="auto" w:fill="F8F9FA"/>
        <w:spacing w:before="120" w:after="100" w:afterAutospacing="1" w:line="390" w:lineRule="atLeast"/>
        <w:jc w:val="left"/>
        <w:rPr>
          <w:rFonts w:eastAsia="Times New Roman" w:cs="Times New Roman"/>
          <w:color w:val="343A40"/>
          <w:szCs w:val="28"/>
          <w:lang w:eastAsia="ru-RU"/>
        </w:rPr>
      </w:pPr>
      <w:r w:rsidRPr="00442E76">
        <w:rPr>
          <w:rFonts w:eastAsia="Times New Roman" w:cs="Times New Roman"/>
          <w:color w:val="343A40"/>
          <w:szCs w:val="28"/>
          <w:lang w:eastAsia="ru-RU"/>
        </w:rPr>
        <w:lastRenderedPageBreak/>
        <w:t>Если среднее значение неизвестно, то следует сложить все начисления служащим по расчетной ведомости и разделить на количество работников.</w:t>
      </w:r>
    </w:p>
    <w:p w14:paraId="04DB396C" w14:textId="77777777" w:rsidR="00044605" w:rsidRPr="00044605" w:rsidRDefault="00044605" w:rsidP="00044605">
      <w:pPr>
        <w:ind w:firstLine="0"/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</w:pPr>
      <w:r w:rsidRPr="00044605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 xml:space="preserve">Определить количество </w:t>
      </w:r>
      <w:proofErr w:type="spellStart"/>
      <w:r w:rsidRPr="00044605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>трудочасов</w:t>
      </w:r>
      <w:proofErr w:type="spellEnd"/>
      <w:r w:rsidRPr="00044605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 xml:space="preserve"> в неделю</w:t>
      </w:r>
    </w:p>
    <w:p w14:paraId="4220F170" w14:textId="77777777" w:rsidR="00044605" w:rsidRPr="00442E76" w:rsidRDefault="00044605" w:rsidP="00044605">
      <w:pPr>
        <w:shd w:val="clear" w:color="auto" w:fill="F8F9FA"/>
        <w:spacing w:before="120" w:after="100" w:afterAutospacing="1" w:line="390" w:lineRule="atLeast"/>
        <w:ind w:firstLine="0"/>
        <w:jc w:val="left"/>
        <w:rPr>
          <w:rFonts w:eastAsia="Times New Roman" w:cs="Times New Roman"/>
          <w:color w:val="343A40"/>
          <w:szCs w:val="28"/>
          <w:lang w:eastAsia="ru-RU"/>
        </w:rPr>
      </w:pPr>
    </w:p>
    <w:p w14:paraId="7108CD7A" w14:textId="7BD5322E" w:rsidR="00442E76" w:rsidRPr="00442E76" w:rsidRDefault="00442E76" w:rsidP="00442E76">
      <w:pPr>
        <w:shd w:val="clear" w:color="auto" w:fill="F8F9FA"/>
        <w:spacing w:before="100" w:beforeAutospacing="1" w:after="100" w:afterAutospacing="1" w:line="390" w:lineRule="atLeast"/>
        <w:ind w:firstLine="0"/>
        <w:jc w:val="left"/>
        <w:rPr>
          <w:rFonts w:eastAsia="Times New Roman" w:cs="Times New Roman"/>
          <w:color w:val="343A40"/>
          <w:szCs w:val="28"/>
          <w:lang w:eastAsia="ru-RU"/>
        </w:rPr>
      </w:pPr>
      <w:r w:rsidRPr="00442E76">
        <w:rPr>
          <w:rFonts w:eastAsia="Times New Roman" w:cs="Times New Roman"/>
          <w:color w:val="343A40"/>
          <w:szCs w:val="28"/>
          <w:lang w:eastAsia="ru-RU"/>
        </w:rPr>
        <w:t>Расчет ФОТ за месяц на примере:</w:t>
      </w:r>
    </w:p>
    <w:p w14:paraId="79BFB994" w14:textId="77777777" w:rsidR="00442E76" w:rsidRPr="00442E76" w:rsidRDefault="00442E76" w:rsidP="00442E76">
      <w:pPr>
        <w:shd w:val="clear" w:color="auto" w:fill="E3F5FF"/>
        <w:spacing w:after="100" w:afterAutospacing="1" w:line="450" w:lineRule="atLeast"/>
        <w:ind w:firstLine="0"/>
        <w:jc w:val="left"/>
        <w:rPr>
          <w:rFonts w:eastAsia="Times New Roman" w:cs="Times New Roman"/>
          <w:i/>
          <w:iCs/>
          <w:color w:val="343A40"/>
          <w:szCs w:val="28"/>
          <w:lang w:eastAsia="ru-RU"/>
        </w:rPr>
      </w:pPr>
      <w:r w:rsidRPr="00442E76">
        <w:rPr>
          <w:rFonts w:eastAsia="Times New Roman" w:cs="Times New Roman"/>
          <w:i/>
          <w:iCs/>
          <w:color w:val="343A40"/>
          <w:szCs w:val="28"/>
          <w:lang w:eastAsia="ru-RU"/>
        </w:rPr>
        <w:t>(60 000 + 30 000 + 15 000) / 3 = 35 000 — средний показатель.</w:t>
      </w:r>
    </w:p>
    <w:p w14:paraId="4B3F5122" w14:textId="77777777" w:rsidR="00442E76" w:rsidRPr="00442E76" w:rsidRDefault="00442E76" w:rsidP="00442E76">
      <w:pPr>
        <w:shd w:val="clear" w:color="auto" w:fill="E3F5FF"/>
        <w:spacing w:before="100" w:beforeAutospacing="1" w:line="450" w:lineRule="atLeast"/>
        <w:ind w:firstLine="0"/>
        <w:jc w:val="left"/>
        <w:rPr>
          <w:rFonts w:eastAsia="Times New Roman" w:cs="Times New Roman"/>
          <w:i/>
          <w:iCs/>
          <w:color w:val="343A40"/>
          <w:szCs w:val="28"/>
          <w:lang w:eastAsia="ru-RU"/>
        </w:rPr>
      </w:pPr>
      <w:r w:rsidRPr="00442E76">
        <w:rPr>
          <w:rFonts w:eastAsia="Times New Roman" w:cs="Times New Roman"/>
          <w:i/>
          <w:iCs/>
          <w:color w:val="343A40"/>
          <w:szCs w:val="28"/>
          <w:lang w:eastAsia="ru-RU"/>
        </w:rPr>
        <w:t>35 000 × 3 = 105 000 — ФОТ на месяц.</w:t>
      </w:r>
    </w:p>
    <w:p w14:paraId="0CC67AD5" w14:textId="4A3AFD57" w:rsidR="00442E76" w:rsidRPr="00772667" w:rsidRDefault="00442E76">
      <w:pPr>
        <w:rPr>
          <w:rFonts w:cs="Times New Roman"/>
          <w:szCs w:val="28"/>
        </w:rPr>
      </w:pPr>
    </w:p>
    <w:p w14:paraId="2BCAC3C2" w14:textId="2679681A" w:rsidR="004E5C65" w:rsidRPr="004E5C65" w:rsidRDefault="004E5C65" w:rsidP="000F0F69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E5C65">
        <w:rPr>
          <w:rFonts w:eastAsia="Times New Roman" w:cs="Times New Roman"/>
          <w:color w:val="101010"/>
          <w:szCs w:val="28"/>
          <w:shd w:val="clear" w:color="auto" w:fill="FFFFFF"/>
          <w:lang w:eastAsia="ru-RU"/>
        </w:rPr>
        <w:t>По общему правилу расчет человеко-часов применяют к видам работ: которые являются многоэтапным процессом; и требуют обязательного соблюдения заранее установленных сроков выполнения. Работодатели, которые ориентируются на количество отработанных человеко-часов: могут эффективно запланировать рабочее время своего персонала; определить четкие сроки исполнения запланированных этапов работ; установить, нуждаются ли они в дополнительных работниках. При расчете человеко-часов, которые необходимы для выполнения определенного этапа работы, используют процедуры, позволяющие объективно оценить трудозатраты. Например, хронометраж и т. п. Кроме того, количество отработанных человеко-часов с начала года необходимо для заполнения формы П-4.</w:t>
      </w:r>
    </w:p>
    <w:p w14:paraId="5415CA0C" w14:textId="55EC43B7" w:rsidR="000342EA" w:rsidRDefault="000342EA">
      <w:pPr>
        <w:rPr>
          <w:rFonts w:cs="Times New Roman"/>
          <w:szCs w:val="28"/>
        </w:rPr>
      </w:pPr>
    </w:p>
    <w:p w14:paraId="63EEA26A" w14:textId="54D99BAA" w:rsidR="00D0288A" w:rsidRDefault="00D0288A">
      <w:pPr>
        <w:rPr>
          <w:rFonts w:cs="Times New Roman"/>
          <w:szCs w:val="28"/>
        </w:rPr>
      </w:pPr>
    </w:p>
    <w:p w14:paraId="6D86C36E" w14:textId="4BB5A982" w:rsidR="00044605" w:rsidRDefault="00D0288A" w:rsidP="00D0288A">
      <w:pPr>
        <w:spacing w:line="240" w:lineRule="auto"/>
        <w:ind w:firstLine="0"/>
        <w:jc w:val="left"/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</w:pPr>
      <w:r w:rsidRPr="00D0288A"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  <w:t xml:space="preserve">Как рассчитать </w:t>
      </w:r>
      <w:proofErr w:type="gramStart"/>
      <w:r w:rsidRPr="00D0288A"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  <w:t>человеко-часы</w:t>
      </w:r>
      <w:proofErr w:type="gramEnd"/>
      <w:r w:rsidRPr="00D0288A"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  <w:t xml:space="preserve"> Есть математическая формула расчета человеко-часов: ЧЧ = Ч1 + Ч2 + … + ЧN, где ЧЧ – количество отработанных за отчетный период человеко-часов; ЧN – количество отработанных в отчетном периоде часов 1-м, 2-м, N-</w:t>
      </w:r>
      <w:proofErr w:type="spellStart"/>
      <w:r w:rsidRPr="00D0288A"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  <w:t>ым</w:t>
      </w:r>
      <w:proofErr w:type="spellEnd"/>
      <w:r w:rsidRPr="00D0288A"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  <w:t xml:space="preserve"> работником.       Важно! В расчете человеко-часов участвует только фактически отработанное время. В него не включают периоды отпусков, больничных и другого неотработанного, в том числе оплачиваемого, времени.</w:t>
      </w:r>
    </w:p>
    <w:p w14:paraId="1334C66F" w14:textId="6AAD3A82" w:rsidR="00044605" w:rsidRDefault="00044605" w:rsidP="00D0288A">
      <w:pPr>
        <w:spacing w:line="240" w:lineRule="auto"/>
        <w:ind w:firstLine="0"/>
        <w:jc w:val="left"/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</w:pPr>
    </w:p>
    <w:p w14:paraId="12AA712F" w14:textId="2FC4D764" w:rsidR="00044605" w:rsidRDefault="00044605" w:rsidP="00D0288A">
      <w:pPr>
        <w:spacing w:line="240" w:lineRule="auto"/>
        <w:ind w:firstLine="0"/>
        <w:jc w:val="left"/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</w:pPr>
    </w:p>
    <w:p w14:paraId="5549241D" w14:textId="77777777" w:rsidR="00044605" w:rsidRPr="00A853BA" w:rsidRDefault="00044605" w:rsidP="00A853BA">
      <w:pPr>
        <w:ind w:firstLine="0"/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</w:pPr>
      <w:r w:rsidRPr="00A853BA">
        <w:rPr>
          <w:rFonts w:cs="Times New Roman"/>
          <w:b/>
          <w:bCs/>
          <w:color w:val="333333"/>
          <w:sz w:val="40"/>
          <w:szCs w:val="40"/>
          <w:shd w:val="clear" w:color="auto" w:fill="FFFFFF"/>
        </w:rPr>
        <w:t>Взносы в фонды и итоговый фонд оплаты труда</w:t>
      </w:r>
    </w:p>
    <w:p w14:paraId="6E5BDD63" w14:textId="77777777" w:rsidR="00044605" w:rsidRPr="00D0288A" w:rsidRDefault="00044605" w:rsidP="00D0288A">
      <w:pPr>
        <w:spacing w:line="240" w:lineRule="auto"/>
        <w:ind w:firstLine="0"/>
        <w:jc w:val="left"/>
        <w:rPr>
          <w:rFonts w:ascii="PT Sans" w:eastAsia="Times New Roman" w:hAnsi="PT Sans" w:cs="Times New Roman"/>
          <w:color w:val="101010"/>
          <w:sz w:val="23"/>
          <w:szCs w:val="23"/>
          <w:shd w:val="clear" w:color="auto" w:fill="FFFFFF"/>
          <w:lang w:eastAsia="ru-RU"/>
        </w:rPr>
      </w:pPr>
    </w:p>
    <w:p w14:paraId="115EE12E" w14:textId="77777777" w:rsidR="009F6851" w:rsidRDefault="009F6851" w:rsidP="009F6851">
      <w:pPr>
        <w:shd w:val="clear" w:color="auto" w:fill="FFFFFF"/>
        <w:spacing w:before="900" w:after="450" w:line="312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43ABC59C" w14:textId="506D6F97" w:rsidR="009F6851" w:rsidRPr="009F6851" w:rsidRDefault="009F6851" w:rsidP="009F6851">
      <w:pPr>
        <w:shd w:val="clear" w:color="auto" w:fill="FFFFFF"/>
        <w:spacing w:before="900" w:after="450" w:line="312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685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Расчёт суммы взносов</w:t>
      </w:r>
    </w:p>
    <w:p w14:paraId="2FC8BBDA" w14:textId="7FF155B5" w:rsidR="009F6851" w:rsidRDefault="009F6851" w:rsidP="009F6851">
      <w:pPr>
        <w:shd w:val="clear" w:color="auto" w:fill="FFFFFF"/>
        <w:spacing w:after="450" w:line="39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Страховые взносы за месяц считаются по простой формуле: База * Тариф. База складывается из всех выплат, которые производятся конкретному физическому лицу, подлежащих обложению страховыми взносами. Есть необлагаемые суммы – они перечислены в статье 422 НК РФ. Все прочие выплаты за месяц складываются и умножаются на тариф.</w:t>
      </w:r>
    </w:p>
    <w:p w14:paraId="7B62F22B" w14:textId="77777777" w:rsidR="009F6851" w:rsidRPr="009F6851" w:rsidRDefault="009F6851" w:rsidP="009F6851">
      <w:pPr>
        <w:shd w:val="clear" w:color="auto" w:fill="FFFFFF"/>
        <w:spacing w:after="450" w:line="39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2022 году действуют такие предельные размеры базы:</w:t>
      </w:r>
    </w:p>
    <w:p w14:paraId="1DF168B7" w14:textId="77777777" w:rsidR="009F6851" w:rsidRPr="009F6851" w:rsidRDefault="009F6851" w:rsidP="009F6851">
      <w:pPr>
        <w:numPr>
          <w:ilvl w:val="0"/>
          <w:numId w:val="7"/>
        </w:numPr>
        <w:shd w:val="clear" w:color="auto" w:fill="FFFFFF"/>
        <w:spacing w:after="90" w:line="390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пенсионных взносов – 1 565 000 рублей;</w:t>
      </w:r>
    </w:p>
    <w:p w14:paraId="514AE928" w14:textId="77777777" w:rsidR="009F6851" w:rsidRPr="009F6851" w:rsidRDefault="009F6851" w:rsidP="009F6851">
      <w:pPr>
        <w:numPr>
          <w:ilvl w:val="0"/>
          <w:numId w:val="7"/>
        </w:numPr>
        <w:shd w:val="clear" w:color="auto" w:fill="FFFFFF"/>
        <w:spacing w:after="90" w:line="390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социальных взносов на временную нетрудоспособность и материнство (</w:t>
      </w:r>
      <w:proofErr w:type="spellStart"/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</w:t>
      </w:r>
      <w:proofErr w:type="spellEnd"/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– 1 032 000 рублей.</w:t>
      </w:r>
    </w:p>
    <w:p w14:paraId="41DF719B" w14:textId="77777777" w:rsidR="009F6851" w:rsidRPr="009F6851" w:rsidRDefault="009F6851" w:rsidP="009F6851">
      <w:pPr>
        <w:shd w:val="clear" w:color="auto" w:fill="FFFFFF"/>
        <w:spacing w:after="450" w:line="39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2023 года будет применяться единая предельная база для пенсионных и социальных взносов, размер которой Правительство должно утвердить до конца текущего года.</w:t>
      </w:r>
    </w:p>
    <w:p w14:paraId="68720334" w14:textId="77777777" w:rsidR="009F6851" w:rsidRPr="009F6851" w:rsidRDefault="009F6851" w:rsidP="009F6851">
      <w:pPr>
        <w:shd w:val="clear" w:color="auto" w:fill="FFFFFF"/>
        <w:spacing w:after="450" w:line="39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B35BCD3" w14:textId="4091255B" w:rsidR="00D0288A" w:rsidRDefault="00D0288A">
      <w:pPr>
        <w:rPr>
          <w:rFonts w:ascii="PT Sans" w:eastAsia="Times New Roman" w:hAnsi="PT Sans" w:cs="Times New Roman"/>
          <w:color w:val="101010"/>
          <w:sz w:val="23"/>
          <w:szCs w:val="23"/>
          <w:lang w:eastAsia="ru-RU"/>
        </w:rPr>
      </w:pPr>
    </w:p>
    <w:p w14:paraId="1B52E06A" w14:textId="77777777" w:rsidR="00D0288A" w:rsidRPr="00772667" w:rsidRDefault="00D0288A">
      <w:pPr>
        <w:rPr>
          <w:rFonts w:cs="Times New Roman"/>
          <w:szCs w:val="28"/>
        </w:rPr>
      </w:pPr>
    </w:p>
    <w:p w14:paraId="774B2197" w14:textId="77777777" w:rsidR="00442E76" w:rsidRPr="00772667" w:rsidRDefault="00442E76">
      <w:pPr>
        <w:rPr>
          <w:rFonts w:cs="Times New Roman"/>
          <w:szCs w:val="28"/>
        </w:rPr>
      </w:pPr>
    </w:p>
    <w:sectPr w:rsidR="00442E76" w:rsidRPr="0077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F0E"/>
    <w:multiLevelType w:val="multilevel"/>
    <w:tmpl w:val="4B8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06367"/>
    <w:multiLevelType w:val="hybridMultilevel"/>
    <w:tmpl w:val="D45EC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A81C90"/>
    <w:multiLevelType w:val="multilevel"/>
    <w:tmpl w:val="D19C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627E3"/>
    <w:multiLevelType w:val="hybridMultilevel"/>
    <w:tmpl w:val="D45EC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D47BD4"/>
    <w:multiLevelType w:val="multilevel"/>
    <w:tmpl w:val="846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E7F"/>
    <w:multiLevelType w:val="hybridMultilevel"/>
    <w:tmpl w:val="D45EC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9C5CDE"/>
    <w:multiLevelType w:val="hybridMultilevel"/>
    <w:tmpl w:val="D45EC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FD"/>
    <w:rsid w:val="000342EA"/>
    <w:rsid w:val="00044605"/>
    <w:rsid w:val="000F0F69"/>
    <w:rsid w:val="001A7559"/>
    <w:rsid w:val="00300D50"/>
    <w:rsid w:val="00354BA1"/>
    <w:rsid w:val="00442E76"/>
    <w:rsid w:val="004E5C65"/>
    <w:rsid w:val="0053551E"/>
    <w:rsid w:val="00585F76"/>
    <w:rsid w:val="00772667"/>
    <w:rsid w:val="00852C6D"/>
    <w:rsid w:val="008B0BFD"/>
    <w:rsid w:val="00951F0C"/>
    <w:rsid w:val="009F6851"/>
    <w:rsid w:val="00A853BA"/>
    <w:rsid w:val="00D0288A"/>
    <w:rsid w:val="00E35892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F5A2"/>
  <w15:chartTrackingRefBased/>
  <w15:docId w15:val="{F3A34039-C4E1-492B-A6B3-02AB6C8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85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E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E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0F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6851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33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nalogooblozhenie/ESH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berry.ru/nalogooblozhenie/usn-dohody-minus-rashody" TargetMode="External"/><Relationship Id="rId12" Type="http://schemas.openxmlformats.org/officeDocument/2006/relationships/hyperlink" Target="https://www.regberry.ru/nalogooblozhenie/avtomatizirovannaya-uproshchyonnaya-sistema-nalogoobloz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berry.ru/nalogooblozhenie/usn" TargetMode="External"/><Relationship Id="rId11" Type="http://schemas.openxmlformats.org/officeDocument/2006/relationships/hyperlink" Target="https://www.regberry.ru/nalogooblozhenie/nalogi-samozanyatyh-grazhdan-v-2019" TargetMode="External"/><Relationship Id="rId5" Type="http://schemas.openxmlformats.org/officeDocument/2006/relationships/hyperlink" Target="https://www.regberry.ru/nalogooblozhenie/osno-obshchaya-sistema-nalogooblozheniya" TargetMode="External"/><Relationship Id="rId10" Type="http://schemas.openxmlformats.org/officeDocument/2006/relationships/hyperlink" Target="https://www.regberry.ru/nalogooblozhenie/nalogi-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berry.ru/nalogooblozhenie/patentnaya-sistema-nalogoobloz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2022-10-07T06:56:00Z</dcterms:created>
  <dcterms:modified xsi:type="dcterms:W3CDTF">2022-10-07T07:22:00Z</dcterms:modified>
</cp:coreProperties>
</file>